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4BC0" w14:textId="77777777" w:rsidR="0005640B" w:rsidRPr="00F970BD" w:rsidRDefault="00930775" w:rsidP="0005640B">
      <w:pPr>
        <w:pStyle w:val="Caption"/>
        <w:jc w:val="center"/>
        <w:rPr>
          <w:rFonts w:ascii="Calibri" w:hAnsi="Calibri" w:cs="Calibri"/>
          <w:sz w:val="24"/>
        </w:rPr>
      </w:pPr>
      <w:bookmarkStart w:id="0" w:name="_GoBack"/>
      <w:bookmarkEnd w:id="0"/>
      <w:r>
        <w:rPr>
          <w:rFonts w:ascii="Calibri" w:hAnsi="Calibri" w:cs="Calibri"/>
          <w:noProof/>
          <w:sz w:val="24"/>
        </w:rPr>
        <mc:AlternateContent>
          <mc:Choice Requires="wps">
            <w:drawing>
              <wp:anchor distT="0" distB="0" distL="114300" distR="114300" simplePos="0" relativeHeight="251657216" behindDoc="0" locked="0" layoutInCell="1" allowOverlap="1" wp14:anchorId="57284C80" wp14:editId="57284C81">
                <wp:simplePos x="0" y="0"/>
                <wp:positionH relativeFrom="column">
                  <wp:posOffset>345440</wp:posOffset>
                </wp:positionH>
                <wp:positionV relativeFrom="paragraph">
                  <wp:posOffset>30480</wp:posOffset>
                </wp:positionV>
                <wp:extent cx="5017135" cy="2280920"/>
                <wp:effectExtent l="12065" t="1143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2280920"/>
                        </a:xfrm>
                        <a:prstGeom prst="rect">
                          <a:avLst/>
                        </a:prstGeom>
                        <a:solidFill>
                          <a:srgbClr val="FFFFFF"/>
                        </a:solidFill>
                        <a:ln w="0">
                          <a:solidFill>
                            <a:srgbClr val="FFFFFF"/>
                          </a:solidFill>
                          <a:miter lim="800000"/>
                          <a:headEnd/>
                          <a:tailEnd/>
                        </a:ln>
                      </wps:spPr>
                      <wps:txbx>
                        <w:txbxContent>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18"/>
                              <w:gridCol w:w="5760"/>
                            </w:tblGrid>
                            <w:tr w:rsidR="0005640B" w:rsidRPr="006635D7" w14:paraId="57284C89" w14:textId="77777777" w:rsidTr="00A03176">
                              <w:tc>
                                <w:tcPr>
                                  <w:tcW w:w="7578" w:type="dxa"/>
                                  <w:gridSpan w:val="2"/>
                                </w:tcPr>
                                <w:p w14:paraId="57284C88" w14:textId="77777777" w:rsidR="0005640B" w:rsidRPr="00E92330" w:rsidRDefault="0005640B" w:rsidP="00A03176">
                                  <w:pPr>
                                    <w:pStyle w:val="Header"/>
                                    <w:rPr>
                                      <w:rFonts w:cs="Calibri"/>
                                      <w:sz w:val="32"/>
                                      <w:szCs w:val="32"/>
                                    </w:rPr>
                                  </w:pPr>
                                  <w:r w:rsidRPr="00E92330">
                                    <w:rPr>
                                      <w:rFonts w:cs="Calibri"/>
                                      <w:b/>
                                      <w:bCs/>
                                      <w:sz w:val="32"/>
                                      <w:szCs w:val="32"/>
                                    </w:rPr>
                                    <w:t>Internal Operating Policy</w:t>
                                  </w:r>
                                </w:p>
                              </w:tc>
                            </w:tr>
                            <w:tr w:rsidR="0005640B" w:rsidRPr="00462BA2" w14:paraId="57284C8C" w14:textId="77777777" w:rsidTr="00A03176">
                              <w:tc>
                                <w:tcPr>
                                  <w:tcW w:w="1818" w:type="dxa"/>
                                </w:tcPr>
                                <w:p w14:paraId="57284C8A" w14:textId="77777777" w:rsidR="0005640B" w:rsidRPr="0005640B" w:rsidRDefault="0005640B" w:rsidP="00A03176">
                                  <w:pPr>
                                    <w:pStyle w:val="Header"/>
                                    <w:rPr>
                                      <w:rFonts w:cs="Calibri"/>
                                      <w:b/>
                                    </w:rPr>
                                  </w:pPr>
                                  <w:r w:rsidRPr="0005640B">
                                    <w:rPr>
                                      <w:rFonts w:cs="Calibri"/>
                                      <w:b/>
                                    </w:rPr>
                                    <w:t>Number:</w:t>
                                  </w:r>
                                </w:p>
                              </w:tc>
                              <w:tc>
                                <w:tcPr>
                                  <w:tcW w:w="5760" w:type="dxa"/>
                                </w:tcPr>
                                <w:p w14:paraId="57284C8B" w14:textId="77777777" w:rsidR="0005640B" w:rsidRPr="0005640B" w:rsidRDefault="00DA73EC" w:rsidP="000C2106">
                                  <w:pPr>
                                    <w:pStyle w:val="Caption"/>
                                    <w:tabs>
                                      <w:tab w:val="center" w:pos="4320"/>
                                      <w:tab w:val="right" w:pos="8640"/>
                                    </w:tabs>
                                    <w:rPr>
                                      <w:rFonts w:cs="Calibri"/>
                                      <w:sz w:val="24"/>
                                    </w:rPr>
                                  </w:pPr>
                                  <w:r>
                                    <w:rPr>
                                      <w:rFonts w:cs="Calibri"/>
                                      <w:sz w:val="24"/>
                                    </w:rPr>
                                    <w:t>1.800</w:t>
                                  </w:r>
                                </w:p>
                              </w:tc>
                            </w:tr>
                            <w:tr w:rsidR="0005640B" w:rsidRPr="00462BA2" w14:paraId="57284C8F" w14:textId="77777777" w:rsidTr="00A03176">
                              <w:tc>
                                <w:tcPr>
                                  <w:tcW w:w="1818" w:type="dxa"/>
                                </w:tcPr>
                                <w:p w14:paraId="57284C8D" w14:textId="77777777" w:rsidR="0005640B" w:rsidRPr="0005640B" w:rsidRDefault="0005640B" w:rsidP="00A03176">
                                  <w:pPr>
                                    <w:pStyle w:val="Header"/>
                                    <w:rPr>
                                      <w:rFonts w:cs="Calibri"/>
                                      <w:b/>
                                    </w:rPr>
                                  </w:pPr>
                                  <w:r w:rsidRPr="0005640B">
                                    <w:rPr>
                                      <w:rFonts w:cs="Calibri"/>
                                      <w:b/>
                                    </w:rPr>
                                    <w:t>Subject:</w:t>
                                  </w:r>
                                </w:p>
                              </w:tc>
                              <w:tc>
                                <w:tcPr>
                                  <w:tcW w:w="5760" w:type="dxa"/>
                                </w:tcPr>
                                <w:p w14:paraId="57284C8E" w14:textId="77777777" w:rsidR="0005640B" w:rsidRPr="0005640B" w:rsidRDefault="0005640B" w:rsidP="00D51E71">
                                  <w:pPr>
                                    <w:pStyle w:val="Caption"/>
                                    <w:tabs>
                                      <w:tab w:val="center" w:pos="4320"/>
                                      <w:tab w:val="right" w:pos="8640"/>
                                    </w:tabs>
                                    <w:rPr>
                                      <w:rFonts w:cs="Calibri"/>
                                      <w:sz w:val="24"/>
                                    </w:rPr>
                                  </w:pPr>
                                  <w:r>
                                    <w:rPr>
                                      <w:rFonts w:cs="Calibri"/>
                                      <w:sz w:val="24"/>
                                    </w:rPr>
                                    <w:t>Public Records</w:t>
                                  </w:r>
                                  <w:r w:rsidR="00664559">
                                    <w:rPr>
                                      <w:rFonts w:cs="Calibri"/>
                                      <w:sz w:val="24"/>
                                    </w:rPr>
                                    <w:t xml:space="preserve"> </w:t>
                                  </w:r>
                                  <w:r w:rsidR="00D51E71">
                                    <w:rPr>
                                      <w:rFonts w:cs="Calibri"/>
                                      <w:sz w:val="24"/>
                                    </w:rPr>
                                    <w:t xml:space="preserve">Management </w:t>
                                  </w:r>
                                  <w:r w:rsidR="00664559">
                                    <w:rPr>
                                      <w:rFonts w:cs="Calibri"/>
                                      <w:sz w:val="24"/>
                                    </w:rPr>
                                    <w:t>and Public Records Requests</w:t>
                                  </w:r>
                                </w:p>
                              </w:tc>
                            </w:tr>
                            <w:tr w:rsidR="0005640B" w:rsidRPr="00462BA2" w14:paraId="57284C92" w14:textId="77777777" w:rsidTr="00A03176">
                              <w:tc>
                                <w:tcPr>
                                  <w:tcW w:w="1818" w:type="dxa"/>
                                </w:tcPr>
                                <w:p w14:paraId="57284C90" w14:textId="77777777" w:rsidR="0005640B" w:rsidRPr="0005640B" w:rsidRDefault="0005640B" w:rsidP="008F6AD8">
                                  <w:pPr>
                                    <w:pStyle w:val="Header"/>
                                    <w:jc w:val="center"/>
                                    <w:rPr>
                                      <w:rFonts w:cs="Calibri"/>
                                      <w:b/>
                                    </w:rPr>
                                  </w:pPr>
                                  <w:r w:rsidRPr="0005640B">
                                    <w:rPr>
                                      <w:rFonts w:cs="Calibri"/>
                                      <w:b/>
                                    </w:rPr>
                                    <w:t>Effective date:</w:t>
                                  </w:r>
                                </w:p>
                              </w:tc>
                              <w:tc>
                                <w:tcPr>
                                  <w:tcW w:w="5760" w:type="dxa"/>
                                </w:tcPr>
                                <w:p w14:paraId="57284C91" w14:textId="61624ACA" w:rsidR="0005640B" w:rsidRPr="0005640B" w:rsidRDefault="000C2106" w:rsidP="000C2106">
                                  <w:pPr>
                                    <w:pStyle w:val="Caption"/>
                                    <w:tabs>
                                      <w:tab w:val="center" w:pos="4320"/>
                                      <w:tab w:val="right" w:pos="8640"/>
                                    </w:tabs>
                                    <w:rPr>
                                      <w:rFonts w:cs="Calibri"/>
                                      <w:sz w:val="24"/>
                                    </w:rPr>
                                  </w:pPr>
                                  <w:r>
                                    <w:rPr>
                                      <w:rFonts w:cs="Calibri"/>
                                      <w:sz w:val="24"/>
                                    </w:rPr>
                                    <w:t>________________</w:t>
                                  </w:r>
                                  <w:r w:rsidR="006D27F3">
                                    <w:rPr>
                                      <w:rFonts w:cs="Calibri"/>
                                      <w:sz w:val="24"/>
                                    </w:rPr>
                                    <w:t xml:space="preserve">, </w:t>
                                  </w:r>
                                  <w:r w:rsidR="00270167">
                                    <w:rPr>
                                      <w:rFonts w:cs="Calibri"/>
                                      <w:sz w:val="24"/>
                                    </w:rPr>
                                    <w:t>2022</w:t>
                                  </w:r>
                                </w:p>
                              </w:tc>
                            </w:tr>
                            <w:tr w:rsidR="0005640B" w:rsidRPr="00462BA2" w14:paraId="57284C96" w14:textId="77777777" w:rsidTr="00A03176">
                              <w:tc>
                                <w:tcPr>
                                  <w:tcW w:w="1818" w:type="dxa"/>
                                </w:tcPr>
                                <w:p w14:paraId="57284C93" w14:textId="77777777" w:rsidR="0005640B" w:rsidRPr="0005640B" w:rsidRDefault="0005640B" w:rsidP="00A03176">
                                  <w:pPr>
                                    <w:pStyle w:val="Header"/>
                                    <w:rPr>
                                      <w:rFonts w:cs="Calibri"/>
                                    </w:rPr>
                                  </w:pPr>
                                </w:p>
                                <w:p w14:paraId="57284C94" w14:textId="77777777" w:rsidR="0005640B" w:rsidRPr="0005640B" w:rsidRDefault="0005640B" w:rsidP="00A03176">
                                  <w:pPr>
                                    <w:pStyle w:val="Header"/>
                                    <w:rPr>
                                      <w:rFonts w:cs="Calibri"/>
                                      <w:b/>
                                    </w:rPr>
                                  </w:pPr>
                                  <w:r w:rsidRPr="0005640B">
                                    <w:rPr>
                                      <w:rFonts w:cs="Calibri"/>
                                      <w:b/>
                                    </w:rPr>
                                    <w:t>Adopted by:</w:t>
                                  </w:r>
                                </w:p>
                              </w:tc>
                              <w:tc>
                                <w:tcPr>
                                  <w:tcW w:w="5760" w:type="dxa"/>
                                </w:tcPr>
                                <w:p w14:paraId="57284C95" w14:textId="77777777" w:rsidR="0005640B" w:rsidRPr="0005640B" w:rsidRDefault="0005640B" w:rsidP="00A03176">
                                  <w:pPr>
                                    <w:pStyle w:val="Header"/>
                                    <w:rPr>
                                      <w:rFonts w:cs="Calibri"/>
                                    </w:rPr>
                                  </w:pPr>
                                </w:p>
                              </w:tc>
                            </w:tr>
                            <w:tr w:rsidR="0005640B" w:rsidRPr="00462BA2" w14:paraId="57284C99" w14:textId="77777777" w:rsidTr="006D27F3">
                              <w:tc>
                                <w:tcPr>
                                  <w:tcW w:w="1818" w:type="dxa"/>
                                  <w:tcBorders>
                                    <w:bottom w:val="single" w:sz="4" w:space="0" w:color="auto"/>
                                  </w:tcBorders>
                                </w:tcPr>
                                <w:p w14:paraId="57284C97" w14:textId="77777777" w:rsidR="0005640B" w:rsidRPr="00462BA2" w:rsidRDefault="0005640B" w:rsidP="00A03176">
                                  <w:pPr>
                                    <w:pStyle w:val="Header"/>
                                    <w:rPr>
                                      <w:rFonts w:cs="Calibri"/>
                                    </w:rPr>
                                  </w:pPr>
                                </w:p>
                              </w:tc>
                              <w:tc>
                                <w:tcPr>
                                  <w:tcW w:w="5760" w:type="dxa"/>
                                  <w:tcBorders>
                                    <w:bottom w:val="single" w:sz="4" w:space="0" w:color="auto"/>
                                  </w:tcBorders>
                                </w:tcPr>
                                <w:p w14:paraId="57284C98" w14:textId="77777777" w:rsidR="0005640B" w:rsidRPr="0005640B" w:rsidRDefault="0005640B" w:rsidP="000C2106">
                                  <w:pPr>
                                    <w:pStyle w:val="Header"/>
                                    <w:rPr>
                                      <w:rFonts w:cs="Calibri"/>
                                    </w:rPr>
                                  </w:pPr>
                                </w:p>
                              </w:tc>
                            </w:tr>
                            <w:tr w:rsidR="006D27F3" w:rsidRPr="0005640B" w14:paraId="57284C9D" w14:textId="77777777" w:rsidTr="006D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18" w:type="dxa"/>
                                  <w:tcBorders>
                                    <w:top w:val="single" w:sz="4" w:space="0" w:color="auto"/>
                                    <w:left w:val="nil"/>
                                    <w:right w:val="nil"/>
                                  </w:tcBorders>
                                </w:tcPr>
                                <w:p w14:paraId="57284C9A" w14:textId="77777777" w:rsidR="006D27F3" w:rsidRPr="0005640B" w:rsidRDefault="006D27F3" w:rsidP="006D27F3">
                                  <w:pPr>
                                    <w:pStyle w:val="Header"/>
                                    <w:rPr>
                                      <w:rFonts w:cs="Calibri"/>
                                    </w:rPr>
                                  </w:pPr>
                                </w:p>
                                <w:p w14:paraId="57284C9B" w14:textId="77777777" w:rsidR="006D27F3" w:rsidRPr="0005640B" w:rsidRDefault="006D27F3" w:rsidP="006D27F3">
                                  <w:pPr>
                                    <w:pStyle w:val="Header"/>
                                    <w:rPr>
                                      <w:rFonts w:cs="Calibri"/>
                                      <w:b/>
                                    </w:rPr>
                                  </w:pPr>
                                  <w:r w:rsidRPr="0005640B">
                                    <w:rPr>
                                      <w:rFonts w:cs="Calibri"/>
                                      <w:b/>
                                    </w:rPr>
                                    <w:t>A</w:t>
                                  </w:r>
                                  <w:r>
                                    <w:rPr>
                                      <w:rFonts w:cs="Calibri"/>
                                      <w:b/>
                                    </w:rPr>
                                    <w:t>pproved by</w:t>
                                  </w:r>
                                  <w:r w:rsidRPr="0005640B">
                                    <w:rPr>
                                      <w:rFonts w:cs="Calibri"/>
                                      <w:b/>
                                    </w:rPr>
                                    <w:t>:</w:t>
                                  </w:r>
                                </w:p>
                              </w:tc>
                              <w:tc>
                                <w:tcPr>
                                  <w:tcW w:w="5760" w:type="dxa"/>
                                  <w:tcBorders>
                                    <w:top w:val="single" w:sz="4" w:space="0" w:color="auto"/>
                                    <w:left w:val="nil"/>
                                    <w:right w:val="nil"/>
                                  </w:tcBorders>
                                </w:tcPr>
                                <w:p w14:paraId="57284C9C" w14:textId="77777777" w:rsidR="006D27F3" w:rsidRPr="0005640B" w:rsidRDefault="006D27F3" w:rsidP="006D27F3">
                                  <w:pPr>
                                    <w:pStyle w:val="Header"/>
                                    <w:rPr>
                                      <w:rFonts w:cs="Calibri"/>
                                    </w:rPr>
                                  </w:pPr>
                                </w:p>
                              </w:tc>
                            </w:tr>
                            <w:tr w:rsidR="006D27F3" w:rsidRPr="0005640B" w14:paraId="57284CA0" w14:textId="77777777" w:rsidTr="006D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18" w:type="dxa"/>
                                  <w:tcBorders>
                                    <w:left w:val="nil"/>
                                    <w:bottom w:val="nil"/>
                                    <w:right w:val="nil"/>
                                  </w:tcBorders>
                                </w:tcPr>
                                <w:p w14:paraId="57284C9E" w14:textId="77777777" w:rsidR="006D27F3" w:rsidRPr="00462BA2" w:rsidRDefault="006D27F3" w:rsidP="006D27F3">
                                  <w:pPr>
                                    <w:pStyle w:val="Header"/>
                                    <w:rPr>
                                      <w:rFonts w:cs="Calibri"/>
                                    </w:rPr>
                                  </w:pPr>
                                </w:p>
                              </w:tc>
                              <w:tc>
                                <w:tcPr>
                                  <w:tcW w:w="5760" w:type="dxa"/>
                                  <w:tcBorders>
                                    <w:left w:val="nil"/>
                                    <w:bottom w:val="nil"/>
                                    <w:right w:val="nil"/>
                                  </w:tcBorders>
                                </w:tcPr>
                                <w:p w14:paraId="57284C9F" w14:textId="194C7525" w:rsidR="006D27F3" w:rsidRPr="0005640B" w:rsidRDefault="00270167" w:rsidP="00BD414E">
                                  <w:pPr>
                                    <w:pStyle w:val="Header"/>
                                    <w:rPr>
                                      <w:rFonts w:cs="Calibri"/>
                                    </w:rPr>
                                  </w:pPr>
                                  <w:r>
                                    <w:rPr>
                                      <w:rFonts w:cs="Calibri"/>
                                    </w:rPr>
                                    <w:t>Stephanie Clark</w:t>
                                  </w:r>
                                  <w:r w:rsidR="006D27F3">
                                    <w:rPr>
                                      <w:rFonts w:cs="Calibri"/>
                                    </w:rPr>
                                    <w:t>, State Archivist</w:t>
                                  </w:r>
                                </w:p>
                              </w:tc>
                            </w:tr>
                          </w:tbl>
                          <w:p w14:paraId="57284CA1" w14:textId="77777777" w:rsidR="0005640B" w:rsidRPr="006D27F3" w:rsidRDefault="0005640B" w:rsidP="006D27F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84C80" id="_x0000_t202" coordsize="21600,21600" o:spt="202" path="m,l,21600r21600,l21600,xe">
                <v:stroke joinstyle="miter"/>
                <v:path gradientshapeok="t" o:connecttype="rect"/>
              </v:shapetype>
              <v:shape id="Text Box 4" o:spid="_x0000_s1026" type="#_x0000_t202" style="position:absolute;left:0;text-align:left;margin-left:27.2pt;margin-top:2.4pt;width:395.05pt;height:1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kkIgIAAE4EAAAOAAAAZHJzL2Uyb0RvYy54bWysVMtu2zAQvBfoPxC815Jdu3EEy0Hq1EWB&#10;9AEk/QCKoiSiFJdd0pbSr++SclyjvQXVgeBjOZyd2dXmZuwNOyr0GmzJ57OcM2Ul1Nq2Jf/+uH+z&#10;5swHYWthwKqSPynPb7avX20GV6gFdGBqhYxArC8GV/IuBFdkmZed6oWfgVOWDhvAXgRaYpvVKAZC&#10;7022yPN32QBYOwSpvKfdu+mQbxN+0ygZvjaNV4GZkhO3kEZMYxXHbLsRRYvCdVqeaIgXsOiFtvTo&#10;GepOBMEOqP+B6rVE8NCEmYQ+g6bRUqUcKJt5/lc2D51wKuVC4nh3lsn/P1j55fgNma7JO86s6Mmi&#10;RzUG9h5GtozqDM4XFPTgKCyMtB0jY6be3YP84ZmFXSdsq24RYeiUqIndPN7MLq5OOD6CVMNnqOkZ&#10;cQiQgMYG+whIYjBCJ5eezs5EKpI2V/n8av52xZmks8VinV8vkneZKJ6vO/Tho4KexUnJkaxP8OJ4&#10;70OkI4rnkEQfjK732pi0wLbaGWRHQWWyT1/KgLK8DDOWDZHaS+/3OlCxG92XfJ3Hbyq/KNoHW6dS&#10;DEKbaU58jT2pGIWbJAxjNZ5cqaB+Ij0RpqKmJqRJB/iLs4EKuuT+50Gg4sx8suTJ9Xy5jB2QFsvV&#10;FQnI8PKkujwRVhJUyQNn03QXpq45ONRtRy9NVWDhlnxsdFI4Gj6xOvGmok3CnxosdsXlOkX9+Q1s&#10;fwMAAP//AwBQSwMEFAAGAAgAAAAhALtH8tDeAAAACAEAAA8AAABkcnMvZG93bnJldi54bWxMj8FO&#10;wzAQRO9I/IO1SFwQdShuVYVsKlSEKsSJlAs3N1mSQLwOttuGv2c5wXE0o5k3xXpygzpSiL1nhJtZ&#10;Boq49k3PLcLr7vF6BSomy40dPBPCN0VYl+dnhc0bf+IXOlapVVLCMbcIXUpjrnWsO3I2zvxILN67&#10;D84mkaHVTbAnKXeDnmfZUjvbsyx0dqRNR/VndXAIT7Xup4/Ng9smer76CnN+21VbxMuL6f4OVKIp&#10;/YXhF1/QoRSmvT9wE9WAsDBGkghGDoi9MmYBao9wuzQZ6LLQ/w+UPwAAAP//AwBQSwECLQAUAAYA&#10;CAAAACEAtoM4kv4AAADhAQAAEwAAAAAAAAAAAAAAAAAAAAAAW0NvbnRlbnRfVHlwZXNdLnhtbFBL&#10;AQItABQABgAIAAAAIQA4/SH/1gAAAJQBAAALAAAAAAAAAAAAAAAAAC8BAABfcmVscy8ucmVsc1BL&#10;AQItABQABgAIAAAAIQCU2XkkIgIAAE4EAAAOAAAAAAAAAAAAAAAAAC4CAABkcnMvZTJvRG9jLnht&#10;bFBLAQItABQABgAIAAAAIQC7R/LQ3gAAAAgBAAAPAAAAAAAAAAAAAAAAAHwEAABkcnMvZG93bnJl&#10;di54bWxQSwUGAAAAAAQABADzAAAAhwUAAAAA&#10;" strokecolor="white" strokeweight="0">
                <v:textbox>
                  <w:txbxContent>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18"/>
                        <w:gridCol w:w="5760"/>
                      </w:tblGrid>
                      <w:tr w:rsidR="0005640B" w:rsidRPr="006635D7" w14:paraId="57284C89" w14:textId="77777777" w:rsidTr="00A03176">
                        <w:tc>
                          <w:tcPr>
                            <w:tcW w:w="7578" w:type="dxa"/>
                            <w:gridSpan w:val="2"/>
                          </w:tcPr>
                          <w:p w14:paraId="57284C88" w14:textId="77777777" w:rsidR="0005640B" w:rsidRPr="00E92330" w:rsidRDefault="0005640B" w:rsidP="00A03176">
                            <w:pPr>
                              <w:pStyle w:val="Header"/>
                              <w:rPr>
                                <w:rFonts w:cs="Calibri"/>
                                <w:sz w:val="32"/>
                                <w:szCs w:val="32"/>
                              </w:rPr>
                            </w:pPr>
                            <w:r w:rsidRPr="00E92330">
                              <w:rPr>
                                <w:rFonts w:cs="Calibri"/>
                                <w:b/>
                                <w:bCs/>
                                <w:sz w:val="32"/>
                                <w:szCs w:val="32"/>
                              </w:rPr>
                              <w:t>Internal Operating Policy</w:t>
                            </w:r>
                          </w:p>
                        </w:tc>
                      </w:tr>
                      <w:tr w:rsidR="0005640B" w:rsidRPr="00462BA2" w14:paraId="57284C8C" w14:textId="77777777" w:rsidTr="00A03176">
                        <w:tc>
                          <w:tcPr>
                            <w:tcW w:w="1818" w:type="dxa"/>
                          </w:tcPr>
                          <w:p w14:paraId="57284C8A" w14:textId="77777777" w:rsidR="0005640B" w:rsidRPr="0005640B" w:rsidRDefault="0005640B" w:rsidP="00A03176">
                            <w:pPr>
                              <w:pStyle w:val="Header"/>
                              <w:rPr>
                                <w:rFonts w:cs="Calibri"/>
                                <w:b/>
                              </w:rPr>
                            </w:pPr>
                            <w:r w:rsidRPr="0005640B">
                              <w:rPr>
                                <w:rFonts w:cs="Calibri"/>
                                <w:b/>
                              </w:rPr>
                              <w:t>Number:</w:t>
                            </w:r>
                          </w:p>
                        </w:tc>
                        <w:tc>
                          <w:tcPr>
                            <w:tcW w:w="5760" w:type="dxa"/>
                          </w:tcPr>
                          <w:p w14:paraId="57284C8B" w14:textId="77777777" w:rsidR="0005640B" w:rsidRPr="0005640B" w:rsidRDefault="00DA73EC" w:rsidP="000C2106">
                            <w:pPr>
                              <w:pStyle w:val="Caption"/>
                              <w:tabs>
                                <w:tab w:val="center" w:pos="4320"/>
                                <w:tab w:val="right" w:pos="8640"/>
                              </w:tabs>
                              <w:rPr>
                                <w:rFonts w:cs="Calibri"/>
                                <w:sz w:val="24"/>
                              </w:rPr>
                            </w:pPr>
                            <w:r>
                              <w:rPr>
                                <w:rFonts w:cs="Calibri"/>
                                <w:sz w:val="24"/>
                              </w:rPr>
                              <w:t>1.800</w:t>
                            </w:r>
                          </w:p>
                        </w:tc>
                      </w:tr>
                      <w:tr w:rsidR="0005640B" w:rsidRPr="00462BA2" w14:paraId="57284C8F" w14:textId="77777777" w:rsidTr="00A03176">
                        <w:tc>
                          <w:tcPr>
                            <w:tcW w:w="1818" w:type="dxa"/>
                          </w:tcPr>
                          <w:p w14:paraId="57284C8D" w14:textId="77777777" w:rsidR="0005640B" w:rsidRPr="0005640B" w:rsidRDefault="0005640B" w:rsidP="00A03176">
                            <w:pPr>
                              <w:pStyle w:val="Header"/>
                              <w:rPr>
                                <w:rFonts w:cs="Calibri"/>
                                <w:b/>
                              </w:rPr>
                            </w:pPr>
                            <w:r w:rsidRPr="0005640B">
                              <w:rPr>
                                <w:rFonts w:cs="Calibri"/>
                                <w:b/>
                              </w:rPr>
                              <w:t>Subject:</w:t>
                            </w:r>
                          </w:p>
                        </w:tc>
                        <w:tc>
                          <w:tcPr>
                            <w:tcW w:w="5760" w:type="dxa"/>
                          </w:tcPr>
                          <w:p w14:paraId="57284C8E" w14:textId="77777777" w:rsidR="0005640B" w:rsidRPr="0005640B" w:rsidRDefault="0005640B" w:rsidP="00D51E71">
                            <w:pPr>
                              <w:pStyle w:val="Caption"/>
                              <w:tabs>
                                <w:tab w:val="center" w:pos="4320"/>
                                <w:tab w:val="right" w:pos="8640"/>
                              </w:tabs>
                              <w:rPr>
                                <w:rFonts w:cs="Calibri"/>
                                <w:sz w:val="24"/>
                              </w:rPr>
                            </w:pPr>
                            <w:r>
                              <w:rPr>
                                <w:rFonts w:cs="Calibri"/>
                                <w:sz w:val="24"/>
                              </w:rPr>
                              <w:t>Public Records</w:t>
                            </w:r>
                            <w:r w:rsidR="00664559">
                              <w:rPr>
                                <w:rFonts w:cs="Calibri"/>
                                <w:sz w:val="24"/>
                              </w:rPr>
                              <w:t xml:space="preserve"> </w:t>
                            </w:r>
                            <w:r w:rsidR="00D51E71">
                              <w:rPr>
                                <w:rFonts w:cs="Calibri"/>
                                <w:sz w:val="24"/>
                              </w:rPr>
                              <w:t xml:space="preserve">Management </w:t>
                            </w:r>
                            <w:r w:rsidR="00664559">
                              <w:rPr>
                                <w:rFonts w:cs="Calibri"/>
                                <w:sz w:val="24"/>
                              </w:rPr>
                              <w:t>and Public Records Requests</w:t>
                            </w:r>
                          </w:p>
                        </w:tc>
                      </w:tr>
                      <w:tr w:rsidR="0005640B" w:rsidRPr="00462BA2" w14:paraId="57284C92" w14:textId="77777777" w:rsidTr="00A03176">
                        <w:tc>
                          <w:tcPr>
                            <w:tcW w:w="1818" w:type="dxa"/>
                          </w:tcPr>
                          <w:p w14:paraId="57284C90" w14:textId="77777777" w:rsidR="0005640B" w:rsidRPr="0005640B" w:rsidRDefault="0005640B" w:rsidP="008F6AD8">
                            <w:pPr>
                              <w:pStyle w:val="Header"/>
                              <w:jc w:val="center"/>
                              <w:rPr>
                                <w:rFonts w:cs="Calibri"/>
                                <w:b/>
                              </w:rPr>
                            </w:pPr>
                            <w:r w:rsidRPr="0005640B">
                              <w:rPr>
                                <w:rFonts w:cs="Calibri"/>
                                <w:b/>
                              </w:rPr>
                              <w:t>Effective date:</w:t>
                            </w:r>
                          </w:p>
                        </w:tc>
                        <w:tc>
                          <w:tcPr>
                            <w:tcW w:w="5760" w:type="dxa"/>
                          </w:tcPr>
                          <w:p w14:paraId="57284C91" w14:textId="61624ACA" w:rsidR="0005640B" w:rsidRPr="0005640B" w:rsidRDefault="000C2106" w:rsidP="000C2106">
                            <w:pPr>
                              <w:pStyle w:val="Caption"/>
                              <w:tabs>
                                <w:tab w:val="center" w:pos="4320"/>
                                <w:tab w:val="right" w:pos="8640"/>
                              </w:tabs>
                              <w:rPr>
                                <w:rFonts w:cs="Calibri"/>
                                <w:sz w:val="24"/>
                              </w:rPr>
                            </w:pPr>
                            <w:r>
                              <w:rPr>
                                <w:rFonts w:cs="Calibri"/>
                                <w:sz w:val="24"/>
                              </w:rPr>
                              <w:t>________________</w:t>
                            </w:r>
                            <w:r w:rsidR="006D27F3">
                              <w:rPr>
                                <w:rFonts w:cs="Calibri"/>
                                <w:sz w:val="24"/>
                              </w:rPr>
                              <w:t xml:space="preserve">, </w:t>
                            </w:r>
                            <w:r w:rsidR="00270167">
                              <w:rPr>
                                <w:rFonts w:cs="Calibri"/>
                                <w:sz w:val="24"/>
                              </w:rPr>
                              <w:t>2022</w:t>
                            </w:r>
                          </w:p>
                        </w:tc>
                      </w:tr>
                      <w:tr w:rsidR="0005640B" w:rsidRPr="00462BA2" w14:paraId="57284C96" w14:textId="77777777" w:rsidTr="00A03176">
                        <w:tc>
                          <w:tcPr>
                            <w:tcW w:w="1818" w:type="dxa"/>
                          </w:tcPr>
                          <w:p w14:paraId="57284C93" w14:textId="77777777" w:rsidR="0005640B" w:rsidRPr="0005640B" w:rsidRDefault="0005640B" w:rsidP="00A03176">
                            <w:pPr>
                              <w:pStyle w:val="Header"/>
                              <w:rPr>
                                <w:rFonts w:cs="Calibri"/>
                              </w:rPr>
                            </w:pPr>
                          </w:p>
                          <w:p w14:paraId="57284C94" w14:textId="77777777" w:rsidR="0005640B" w:rsidRPr="0005640B" w:rsidRDefault="0005640B" w:rsidP="00A03176">
                            <w:pPr>
                              <w:pStyle w:val="Header"/>
                              <w:rPr>
                                <w:rFonts w:cs="Calibri"/>
                                <w:b/>
                              </w:rPr>
                            </w:pPr>
                            <w:r w:rsidRPr="0005640B">
                              <w:rPr>
                                <w:rFonts w:cs="Calibri"/>
                                <w:b/>
                              </w:rPr>
                              <w:t>Adopted by:</w:t>
                            </w:r>
                          </w:p>
                        </w:tc>
                        <w:tc>
                          <w:tcPr>
                            <w:tcW w:w="5760" w:type="dxa"/>
                          </w:tcPr>
                          <w:p w14:paraId="57284C95" w14:textId="77777777" w:rsidR="0005640B" w:rsidRPr="0005640B" w:rsidRDefault="0005640B" w:rsidP="00A03176">
                            <w:pPr>
                              <w:pStyle w:val="Header"/>
                              <w:rPr>
                                <w:rFonts w:cs="Calibri"/>
                              </w:rPr>
                            </w:pPr>
                          </w:p>
                        </w:tc>
                      </w:tr>
                      <w:tr w:rsidR="0005640B" w:rsidRPr="00462BA2" w14:paraId="57284C99" w14:textId="77777777" w:rsidTr="006D27F3">
                        <w:tc>
                          <w:tcPr>
                            <w:tcW w:w="1818" w:type="dxa"/>
                            <w:tcBorders>
                              <w:bottom w:val="single" w:sz="4" w:space="0" w:color="auto"/>
                            </w:tcBorders>
                          </w:tcPr>
                          <w:p w14:paraId="57284C97" w14:textId="77777777" w:rsidR="0005640B" w:rsidRPr="00462BA2" w:rsidRDefault="0005640B" w:rsidP="00A03176">
                            <w:pPr>
                              <w:pStyle w:val="Header"/>
                              <w:rPr>
                                <w:rFonts w:cs="Calibri"/>
                              </w:rPr>
                            </w:pPr>
                          </w:p>
                        </w:tc>
                        <w:tc>
                          <w:tcPr>
                            <w:tcW w:w="5760" w:type="dxa"/>
                            <w:tcBorders>
                              <w:bottom w:val="single" w:sz="4" w:space="0" w:color="auto"/>
                            </w:tcBorders>
                          </w:tcPr>
                          <w:p w14:paraId="57284C98" w14:textId="77777777" w:rsidR="0005640B" w:rsidRPr="0005640B" w:rsidRDefault="0005640B" w:rsidP="000C2106">
                            <w:pPr>
                              <w:pStyle w:val="Header"/>
                              <w:rPr>
                                <w:rFonts w:cs="Calibri"/>
                              </w:rPr>
                            </w:pPr>
                          </w:p>
                        </w:tc>
                      </w:tr>
                      <w:tr w:rsidR="006D27F3" w:rsidRPr="0005640B" w14:paraId="57284C9D" w14:textId="77777777" w:rsidTr="006D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18" w:type="dxa"/>
                            <w:tcBorders>
                              <w:top w:val="single" w:sz="4" w:space="0" w:color="auto"/>
                              <w:left w:val="nil"/>
                              <w:right w:val="nil"/>
                            </w:tcBorders>
                          </w:tcPr>
                          <w:p w14:paraId="57284C9A" w14:textId="77777777" w:rsidR="006D27F3" w:rsidRPr="0005640B" w:rsidRDefault="006D27F3" w:rsidP="006D27F3">
                            <w:pPr>
                              <w:pStyle w:val="Header"/>
                              <w:rPr>
                                <w:rFonts w:cs="Calibri"/>
                              </w:rPr>
                            </w:pPr>
                          </w:p>
                          <w:p w14:paraId="57284C9B" w14:textId="77777777" w:rsidR="006D27F3" w:rsidRPr="0005640B" w:rsidRDefault="006D27F3" w:rsidP="006D27F3">
                            <w:pPr>
                              <w:pStyle w:val="Header"/>
                              <w:rPr>
                                <w:rFonts w:cs="Calibri"/>
                                <w:b/>
                              </w:rPr>
                            </w:pPr>
                            <w:r w:rsidRPr="0005640B">
                              <w:rPr>
                                <w:rFonts w:cs="Calibri"/>
                                <w:b/>
                              </w:rPr>
                              <w:t>A</w:t>
                            </w:r>
                            <w:r>
                              <w:rPr>
                                <w:rFonts w:cs="Calibri"/>
                                <w:b/>
                              </w:rPr>
                              <w:t>pproved by</w:t>
                            </w:r>
                            <w:r w:rsidRPr="0005640B">
                              <w:rPr>
                                <w:rFonts w:cs="Calibri"/>
                                <w:b/>
                              </w:rPr>
                              <w:t>:</w:t>
                            </w:r>
                          </w:p>
                        </w:tc>
                        <w:tc>
                          <w:tcPr>
                            <w:tcW w:w="5760" w:type="dxa"/>
                            <w:tcBorders>
                              <w:top w:val="single" w:sz="4" w:space="0" w:color="auto"/>
                              <w:left w:val="nil"/>
                              <w:right w:val="nil"/>
                            </w:tcBorders>
                          </w:tcPr>
                          <w:p w14:paraId="57284C9C" w14:textId="77777777" w:rsidR="006D27F3" w:rsidRPr="0005640B" w:rsidRDefault="006D27F3" w:rsidP="006D27F3">
                            <w:pPr>
                              <w:pStyle w:val="Header"/>
                              <w:rPr>
                                <w:rFonts w:cs="Calibri"/>
                              </w:rPr>
                            </w:pPr>
                          </w:p>
                        </w:tc>
                      </w:tr>
                      <w:tr w:rsidR="006D27F3" w:rsidRPr="0005640B" w14:paraId="57284CA0" w14:textId="77777777" w:rsidTr="006D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18" w:type="dxa"/>
                            <w:tcBorders>
                              <w:left w:val="nil"/>
                              <w:bottom w:val="nil"/>
                              <w:right w:val="nil"/>
                            </w:tcBorders>
                          </w:tcPr>
                          <w:p w14:paraId="57284C9E" w14:textId="77777777" w:rsidR="006D27F3" w:rsidRPr="00462BA2" w:rsidRDefault="006D27F3" w:rsidP="006D27F3">
                            <w:pPr>
                              <w:pStyle w:val="Header"/>
                              <w:rPr>
                                <w:rFonts w:cs="Calibri"/>
                              </w:rPr>
                            </w:pPr>
                          </w:p>
                        </w:tc>
                        <w:tc>
                          <w:tcPr>
                            <w:tcW w:w="5760" w:type="dxa"/>
                            <w:tcBorders>
                              <w:left w:val="nil"/>
                              <w:bottom w:val="nil"/>
                              <w:right w:val="nil"/>
                            </w:tcBorders>
                          </w:tcPr>
                          <w:p w14:paraId="57284C9F" w14:textId="194C7525" w:rsidR="006D27F3" w:rsidRPr="0005640B" w:rsidRDefault="00270167" w:rsidP="00BD414E">
                            <w:pPr>
                              <w:pStyle w:val="Header"/>
                              <w:rPr>
                                <w:rFonts w:cs="Calibri"/>
                              </w:rPr>
                            </w:pPr>
                            <w:r>
                              <w:rPr>
                                <w:rFonts w:cs="Calibri"/>
                              </w:rPr>
                              <w:t>Stephanie Clark</w:t>
                            </w:r>
                            <w:r w:rsidR="006D27F3">
                              <w:rPr>
                                <w:rFonts w:cs="Calibri"/>
                              </w:rPr>
                              <w:t>, State Archivist</w:t>
                            </w:r>
                          </w:p>
                        </w:tc>
                      </w:tr>
                    </w:tbl>
                    <w:p w14:paraId="57284CA1" w14:textId="77777777" w:rsidR="0005640B" w:rsidRPr="006D27F3" w:rsidRDefault="0005640B" w:rsidP="006D27F3">
                      <w:pPr>
                        <w:rPr>
                          <w:rFonts w:asciiTheme="minorHAnsi" w:hAnsiTheme="minorHAnsi" w:cstheme="minorHAnsi"/>
                        </w:rPr>
                      </w:pPr>
                    </w:p>
                  </w:txbxContent>
                </v:textbox>
              </v:shape>
            </w:pict>
          </mc:Fallback>
        </mc:AlternateContent>
      </w:r>
    </w:p>
    <w:p w14:paraId="57284BC1" w14:textId="77777777" w:rsidR="0005640B" w:rsidRPr="00F970BD" w:rsidRDefault="0005640B" w:rsidP="006016DE">
      <w:pPr>
        <w:rPr>
          <w:rFonts w:ascii="Calibri" w:hAnsi="Calibri" w:cs="Calibri"/>
        </w:rPr>
      </w:pPr>
    </w:p>
    <w:p w14:paraId="57284BC2" w14:textId="77777777" w:rsidR="00B3106A" w:rsidRDefault="00B3106A" w:rsidP="0005640B">
      <w:pPr>
        <w:rPr>
          <w:rFonts w:ascii="Calibri" w:hAnsi="Calibri" w:cs="Calibri"/>
          <w:b/>
          <w:bCs/>
          <w:u w:val="double"/>
        </w:rPr>
      </w:pPr>
    </w:p>
    <w:p w14:paraId="57284BC3" w14:textId="77777777" w:rsidR="006D27F3" w:rsidRDefault="006D27F3" w:rsidP="0005640B">
      <w:pPr>
        <w:rPr>
          <w:rFonts w:ascii="Calibri" w:hAnsi="Calibri" w:cs="Calibri"/>
          <w:b/>
          <w:bCs/>
          <w:u w:val="double"/>
        </w:rPr>
      </w:pPr>
    </w:p>
    <w:p w14:paraId="57284BC4" w14:textId="77777777" w:rsidR="006D27F3" w:rsidRDefault="006D27F3" w:rsidP="0005640B">
      <w:pPr>
        <w:rPr>
          <w:rFonts w:ascii="Calibri" w:hAnsi="Calibri" w:cs="Calibri"/>
          <w:b/>
          <w:bCs/>
          <w:u w:val="double"/>
        </w:rPr>
      </w:pPr>
    </w:p>
    <w:p w14:paraId="57284BC5" w14:textId="77777777" w:rsidR="006D27F3" w:rsidRDefault="006D27F3" w:rsidP="0005640B">
      <w:pPr>
        <w:rPr>
          <w:rFonts w:ascii="Calibri" w:hAnsi="Calibri" w:cs="Calibri"/>
          <w:b/>
          <w:bCs/>
          <w:u w:val="double"/>
        </w:rPr>
      </w:pPr>
    </w:p>
    <w:p w14:paraId="57284BC6" w14:textId="77777777" w:rsidR="008F6AD8" w:rsidRDefault="008F6AD8" w:rsidP="0005640B">
      <w:pPr>
        <w:rPr>
          <w:rFonts w:ascii="Calibri" w:hAnsi="Calibri" w:cs="Calibri"/>
          <w:b/>
          <w:bCs/>
          <w:u w:val="double"/>
        </w:rPr>
      </w:pPr>
    </w:p>
    <w:p w14:paraId="57284BC7" w14:textId="77777777" w:rsidR="008F6AD8" w:rsidRDefault="008F6AD8" w:rsidP="0005640B">
      <w:pPr>
        <w:rPr>
          <w:rFonts w:ascii="Calibri" w:hAnsi="Calibri" w:cs="Calibri"/>
          <w:b/>
          <w:bCs/>
          <w:u w:val="double"/>
        </w:rPr>
      </w:pPr>
    </w:p>
    <w:p w14:paraId="57284BC8" w14:textId="77777777" w:rsidR="008F6AD8" w:rsidRDefault="008F6AD8" w:rsidP="0005640B">
      <w:pPr>
        <w:rPr>
          <w:rFonts w:ascii="Calibri" w:hAnsi="Calibri" w:cs="Calibri"/>
          <w:b/>
          <w:bCs/>
          <w:u w:val="double"/>
        </w:rPr>
      </w:pPr>
    </w:p>
    <w:p w14:paraId="57284BC9" w14:textId="77777777" w:rsidR="008F6AD8" w:rsidRDefault="008F6AD8" w:rsidP="0005640B">
      <w:pPr>
        <w:rPr>
          <w:rFonts w:ascii="Calibri" w:hAnsi="Calibri" w:cs="Calibri"/>
          <w:b/>
          <w:bCs/>
          <w:u w:val="double"/>
        </w:rPr>
      </w:pPr>
    </w:p>
    <w:p w14:paraId="57284BCA" w14:textId="77777777" w:rsidR="008F6AD8" w:rsidRDefault="008F6AD8" w:rsidP="0005640B">
      <w:pPr>
        <w:rPr>
          <w:rFonts w:ascii="Calibri" w:hAnsi="Calibri" w:cs="Calibri"/>
          <w:b/>
          <w:bCs/>
          <w:u w:val="double"/>
        </w:rPr>
      </w:pPr>
    </w:p>
    <w:p w14:paraId="57284BCB" w14:textId="77777777" w:rsidR="008F6AD8" w:rsidRDefault="008F6AD8" w:rsidP="0005640B">
      <w:pPr>
        <w:rPr>
          <w:rFonts w:ascii="Calibri" w:hAnsi="Calibri" w:cs="Calibri"/>
          <w:b/>
          <w:bCs/>
          <w:u w:val="double"/>
        </w:rPr>
      </w:pPr>
    </w:p>
    <w:p w14:paraId="57284BCC" w14:textId="77777777" w:rsidR="008F6AD8" w:rsidRDefault="008F6AD8" w:rsidP="0005640B">
      <w:pPr>
        <w:rPr>
          <w:rFonts w:ascii="Calibri" w:hAnsi="Calibri" w:cs="Calibri"/>
          <w:b/>
          <w:bCs/>
          <w:u w:val="double"/>
        </w:rPr>
      </w:pPr>
    </w:p>
    <w:p w14:paraId="57284BCD" w14:textId="77777777" w:rsidR="0005640B" w:rsidRPr="00F970BD" w:rsidRDefault="0005640B" w:rsidP="0005640B">
      <w:pPr>
        <w:rPr>
          <w:rFonts w:ascii="Calibri" w:hAnsi="Calibri" w:cs="Calibri"/>
          <w:b/>
          <w:bCs/>
          <w:u w:val="double"/>
        </w:rPr>
      </w:pP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r w:rsidRPr="00F970BD">
        <w:rPr>
          <w:rFonts w:ascii="Calibri" w:hAnsi="Calibri" w:cs="Calibri"/>
          <w:b/>
          <w:bCs/>
          <w:u w:val="double"/>
        </w:rPr>
        <w:tab/>
      </w:r>
    </w:p>
    <w:p w14:paraId="57284BCE" w14:textId="77777777" w:rsidR="00165B25" w:rsidRPr="00165B25" w:rsidRDefault="00165B25" w:rsidP="0005640B">
      <w:pPr>
        <w:spacing w:before="240"/>
        <w:rPr>
          <w:rFonts w:ascii="Calibri" w:hAnsi="Calibri" w:cs="Calibri"/>
        </w:rPr>
      </w:pPr>
      <w:r w:rsidRPr="006D27F3">
        <w:rPr>
          <w:rFonts w:ascii="Calibri" w:hAnsi="Calibri" w:cs="Calibri"/>
          <w:b/>
        </w:rPr>
        <w:t>Policy:</w:t>
      </w:r>
      <w:r w:rsidRPr="006D27F3">
        <w:rPr>
          <w:rFonts w:ascii="Calibri" w:hAnsi="Calibri" w:cs="Calibri"/>
        </w:rPr>
        <w:t xml:space="preserve"> It is the policy of the </w:t>
      </w:r>
      <w:r w:rsidR="00B2185F">
        <w:rPr>
          <w:rFonts w:ascii="Calibri" w:hAnsi="Calibri" w:cs="Calibri"/>
        </w:rPr>
        <w:t>[AGENCY]</w:t>
      </w:r>
      <w:r w:rsidRPr="006D27F3">
        <w:rPr>
          <w:rFonts w:ascii="Calibri" w:hAnsi="Calibri" w:cs="Calibri"/>
        </w:rPr>
        <w:t xml:space="preserve"> to manage and retain its public records in a manner that makes them easily retrievable and accessible to the public.</w:t>
      </w:r>
    </w:p>
    <w:p w14:paraId="57284BCF" w14:textId="77777777" w:rsidR="00422FF8" w:rsidRPr="007B1598" w:rsidRDefault="00422FF8" w:rsidP="0005640B">
      <w:pPr>
        <w:spacing w:before="240"/>
        <w:rPr>
          <w:rFonts w:ascii="Calibri" w:hAnsi="Calibri" w:cs="Calibri"/>
          <w:bCs/>
        </w:rPr>
      </w:pPr>
      <w:r w:rsidRPr="00F970BD">
        <w:rPr>
          <w:rFonts w:ascii="Calibri" w:hAnsi="Calibri" w:cs="Calibri"/>
          <w:bCs/>
        </w:rPr>
        <w:t xml:space="preserve">Oregon Revised Statute 192.018 requires </w:t>
      </w:r>
      <w:r w:rsidR="00165B25">
        <w:rPr>
          <w:rFonts w:ascii="Calibri" w:hAnsi="Calibri" w:cs="Calibri"/>
          <w:bCs/>
        </w:rPr>
        <w:t xml:space="preserve">all </w:t>
      </w:r>
      <w:r w:rsidRPr="00F970BD">
        <w:rPr>
          <w:rFonts w:ascii="Calibri" w:hAnsi="Calibri" w:cs="Calibri"/>
          <w:bCs/>
        </w:rPr>
        <w:t>state agenc</w:t>
      </w:r>
      <w:r w:rsidR="00165B25">
        <w:rPr>
          <w:rFonts w:ascii="Calibri" w:hAnsi="Calibri" w:cs="Calibri"/>
          <w:bCs/>
        </w:rPr>
        <w:t xml:space="preserve">ies </w:t>
      </w:r>
      <w:r w:rsidRPr="00F970BD">
        <w:rPr>
          <w:rFonts w:ascii="Calibri" w:hAnsi="Calibri" w:cs="Calibri"/>
          <w:bCs/>
        </w:rPr>
        <w:t>to have a written policy that sets forth the agency’s use, retention, and ownership of public records</w:t>
      </w:r>
      <w:r w:rsidR="00C31A92" w:rsidRPr="007B1598">
        <w:rPr>
          <w:rFonts w:ascii="Calibri" w:hAnsi="Calibri" w:cs="Calibri"/>
          <w:bCs/>
        </w:rPr>
        <w:t xml:space="preserve"> so that its </w:t>
      </w:r>
      <w:r w:rsidRPr="00F970BD">
        <w:rPr>
          <w:rFonts w:ascii="Calibri" w:hAnsi="Calibri" w:cs="Calibri"/>
          <w:bCs/>
        </w:rPr>
        <w:t xml:space="preserve">public records are maintained and managed within the </w:t>
      </w:r>
      <w:r w:rsidR="00742CCE" w:rsidRPr="00F970BD">
        <w:rPr>
          <w:rFonts w:ascii="Calibri" w:hAnsi="Calibri" w:cs="Calibri"/>
          <w:bCs/>
        </w:rPr>
        <w:t xml:space="preserve">agency </w:t>
      </w:r>
      <w:r w:rsidRPr="00F970BD">
        <w:rPr>
          <w:rFonts w:ascii="Calibri" w:hAnsi="Calibri" w:cs="Calibri"/>
          <w:bCs/>
        </w:rPr>
        <w:t xml:space="preserve">from the time of creation </w:t>
      </w:r>
      <w:r w:rsidR="00C31A92" w:rsidRPr="007B1598">
        <w:rPr>
          <w:rFonts w:ascii="Calibri" w:hAnsi="Calibri" w:cs="Calibri"/>
          <w:bCs/>
        </w:rPr>
        <w:t xml:space="preserve">of a public record </w:t>
      </w:r>
      <w:r w:rsidRPr="00F970BD">
        <w:rPr>
          <w:rFonts w:ascii="Calibri" w:hAnsi="Calibri" w:cs="Calibri"/>
          <w:bCs/>
        </w:rPr>
        <w:t xml:space="preserve">to the time of </w:t>
      </w:r>
      <w:r w:rsidR="00165B25">
        <w:rPr>
          <w:rFonts w:ascii="Calibri" w:hAnsi="Calibri" w:cs="Calibri"/>
          <w:bCs/>
        </w:rPr>
        <w:t xml:space="preserve">its </w:t>
      </w:r>
      <w:r w:rsidRPr="00F970BD">
        <w:rPr>
          <w:rFonts w:ascii="Calibri" w:hAnsi="Calibri" w:cs="Calibri"/>
          <w:bCs/>
        </w:rPr>
        <w:t>final disposition.</w:t>
      </w:r>
    </w:p>
    <w:p w14:paraId="57284BD0" w14:textId="77777777" w:rsidR="00C31A92" w:rsidRPr="007B1598" w:rsidRDefault="00165B25" w:rsidP="0005640B">
      <w:pPr>
        <w:spacing w:before="240"/>
        <w:rPr>
          <w:rFonts w:ascii="Calibri" w:hAnsi="Calibri" w:cs="Calibri"/>
          <w:bCs/>
        </w:rPr>
      </w:pPr>
      <w:r>
        <w:rPr>
          <w:rFonts w:ascii="Calibri" w:hAnsi="Calibri" w:cs="Calibri"/>
          <w:bCs/>
        </w:rPr>
        <w:t xml:space="preserve">ORS 192.018 also requires each state agency </w:t>
      </w:r>
      <w:r w:rsidR="00C31A92" w:rsidRPr="007B1598">
        <w:rPr>
          <w:rFonts w:ascii="Calibri" w:hAnsi="Calibri" w:cs="Calibri"/>
          <w:bCs/>
        </w:rPr>
        <w:t xml:space="preserve">to seek </w:t>
      </w:r>
      <w:r>
        <w:rPr>
          <w:rFonts w:ascii="Calibri" w:hAnsi="Calibri" w:cs="Calibri"/>
          <w:bCs/>
        </w:rPr>
        <w:t xml:space="preserve">the state archivist’s </w:t>
      </w:r>
      <w:r w:rsidR="00C31A92" w:rsidRPr="007B1598">
        <w:rPr>
          <w:rFonts w:ascii="Calibri" w:hAnsi="Calibri" w:cs="Calibri"/>
          <w:bCs/>
        </w:rPr>
        <w:t xml:space="preserve">review and approval prior to adopting </w:t>
      </w:r>
      <w:r>
        <w:rPr>
          <w:rFonts w:ascii="Calibri" w:hAnsi="Calibri" w:cs="Calibri"/>
          <w:bCs/>
        </w:rPr>
        <w:t xml:space="preserve">a </w:t>
      </w:r>
      <w:r w:rsidR="00C31A92" w:rsidRPr="007B1598">
        <w:rPr>
          <w:rFonts w:ascii="Calibri" w:hAnsi="Calibri" w:cs="Calibri"/>
          <w:bCs/>
        </w:rPr>
        <w:t>public records management policy.</w:t>
      </w:r>
    </w:p>
    <w:p w14:paraId="57284BD1" w14:textId="77777777" w:rsidR="00C31A92" w:rsidRPr="00F970BD" w:rsidRDefault="00165B25" w:rsidP="0005640B">
      <w:pPr>
        <w:spacing w:before="240"/>
        <w:rPr>
          <w:rFonts w:ascii="Calibri" w:hAnsi="Calibri" w:cs="Calibri"/>
          <w:bCs/>
        </w:rPr>
      </w:pPr>
      <w:r>
        <w:rPr>
          <w:rFonts w:ascii="Calibri" w:hAnsi="Calibri" w:cs="Calibri"/>
          <w:bCs/>
        </w:rPr>
        <w:t xml:space="preserve">This statute also requires </w:t>
      </w:r>
      <w:r w:rsidR="00C31A92" w:rsidRPr="007B1598">
        <w:rPr>
          <w:rFonts w:ascii="Calibri" w:hAnsi="Calibri" w:cs="Calibri"/>
          <w:bCs/>
        </w:rPr>
        <w:t xml:space="preserve">the </w:t>
      </w:r>
      <w:r w:rsidR="00B2185F">
        <w:rPr>
          <w:rFonts w:ascii="Calibri" w:hAnsi="Calibri" w:cs="Calibri"/>
          <w:bCs/>
        </w:rPr>
        <w:t>[AGENCY]</w:t>
      </w:r>
      <w:r w:rsidR="00C31A92" w:rsidRPr="007B1598">
        <w:rPr>
          <w:rFonts w:ascii="Calibri" w:hAnsi="Calibri" w:cs="Calibri"/>
          <w:bCs/>
        </w:rPr>
        <w:t xml:space="preserve"> </w:t>
      </w:r>
      <w:r>
        <w:rPr>
          <w:rFonts w:ascii="Calibri" w:hAnsi="Calibri" w:cs="Calibri"/>
          <w:bCs/>
        </w:rPr>
        <w:t>t</w:t>
      </w:r>
      <w:r w:rsidR="00C31A92" w:rsidRPr="007B1598">
        <w:rPr>
          <w:rFonts w:ascii="Calibri" w:hAnsi="Calibri" w:cs="Calibri"/>
          <w:bCs/>
        </w:rPr>
        <w:t xml:space="preserve">o review and, if necessary, update this policy at least once per biennium to reflect changes in law and policies and/or changing business needs and to ensure ongoing accessibility. </w:t>
      </w:r>
      <w:r>
        <w:rPr>
          <w:rFonts w:ascii="Calibri" w:hAnsi="Calibri" w:cs="Calibri"/>
          <w:bCs/>
        </w:rPr>
        <w:t>The</w:t>
      </w:r>
      <w:r w:rsidR="00B2185F">
        <w:rPr>
          <w:rFonts w:ascii="Calibri" w:hAnsi="Calibri" w:cs="Calibri"/>
          <w:bCs/>
        </w:rPr>
        <w:t xml:space="preserve"> [AGENCY]</w:t>
      </w:r>
      <w:r>
        <w:rPr>
          <w:rFonts w:ascii="Calibri" w:hAnsi="Calibri" w:cs="Calibri"/>
          <w:bCs/>
        </w:rPr>
        <w:t xml:space="preserve"> must submit a</w:t>
      </w:r>
      <w:r w:rsidR="00C31A92" w:rsidRPr="007B1598">
        <w:rPr>
          <w:rFonts w:ascii="Calibri" w:hAnsi="Calibri" w:cs="Calibri"/>
          <w:bCs/>
        </w:rPr>
        <w:t xml:space="preserve">ny updates or revisions to this policy </w:t>
      </w:r>
      <w:r>
        <w:rPr>
          <w:rFonts w:ascii="Calibri" w:hAnsi="Calibri" w:cs="Calibri"/>
          <w:bCs/>
        </w:rPr>
        <w:t>to the state archivist for review and approval</w:t>
      </w:r>
      <w:r w:rsidR="00C31A92" w:rsidRPr="007B1598">
        <w:rPr>
          <w:rFonts w:ascii="Calibri" w:hAnsi="Calibri" w:cs="Calibri"/>
          <w:bCs/>
        </w:rPr>
        <w:t>, prior to adoption.</w:t>
      </w:r>
    </w:p>
    <w:p w14:paraId="57284BD2" w14:textId="77777777" w:rsidR="00C31A92" w:rsidRPr="00F970BD" w:rsidRDefault="00C31A92" w:rsidP="00C31A92">
      <w:pPr>
        <w:pStyle w:val="BodyText"/>
        <w:rPr>
          <w:rFonts w:ascii="Calibri" w:hAnsi="Calibri" w:cs="Calibri"/>
          <w:b/>
          <w:u w:val="single"/>
        </w:rPr>
      </w:pP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p>
    <w:p w14:paraId="57284BD3" w14:textId="77777777" w:rsidR="00C31A92" w:rsidRPr="007B1598" w:rsidRDefault="00C31A92" w:rsidP="0005640B">
      <w:pPr>
        <w:spacing w:before="240"/>
        <w:rPr>
          <w:rFonts w:ascii="Calibri" w:hAnsi="Calibri" w:cs="Calibri"/>
          <w:b/>
          <w:bCs/>
        </w:rPr>
      </w:pPr>
      <w:r w:rsidRPr="007B1598">
        <w:rPr>
          <w:rFonts w:ascii="Calibri" w:hAnsi="Calibri" w:cs="Calibri"/>
          <w:b/>
          <w:bCs/>
        </w:rPr>
        <w:t>Special situations:</w:t>
      </w:r>
    </w:p>
    <w:p w14:paraId="57284BD4" w14:textId="77777777" w:rsidR="00C31A92" w:rsidRPr="00F970BD" w:rsidRDefault="00BD315F" w:rsidP="007B1598">
      <w:pPr>
        <w:numPr>
          <w:ilvl w:val="0"/>
          <w:numId w:val="7"/>
        </w:numPr>
        <w:spacing w:before="240"/>
        <w:rPr>
          <w:rFonts w:ascii="Calibri" w:hAnsi="Calibri" w:cs="Calibri"/>
          <w:bCs/>
        </w:rPr>
      </w:pPr>
      <w:r w:rsidRPr="00F970BD">
        <w:rPr>
          <w:rFonts w:ascii="Calibri" w:hAnsi="Calibri" w:cs="Calibri"/>
          <w:bCs/>
        </w:rPr>
        <w:t>A r</w:t>
      </w:r>
      <w:r w:rsidR="00C31A92" w:rsidRPr="00F970BD">
        <w:rPr>
          <w:rFonts w:ascii="Calibri" w:hAnsi="Calibri" w:cs="Calibri"/>
          <w:bCs/>
        </w:rPr>
        <w:t xml:space="preserve">etained record may be subject to public disclosure upon request, even if </w:t>
      </w:r>
      <w:r w:rsidR="00165B25">
        <w:rPr>
          <w:rFonts w:ascii="Calibri" w:hAnsi="Calibri" w:cs="Calibri"/>
          <w:bCs/>
        </w:rPr>
        <w:t xml:space="preserve">the law does not require </w:t>
      </w:r>
      <w:r w:rsidRPr="00F970BD">
        <w:rPr>
          <w:rFonts w:ascii="Calibri" w:hAnsi="Calibri" w:cs="Calibri"/>
          <w:bCs/>
        </w:rPr>
        <w:t>its</w:t>
      </w:r>
      <w:r w:rsidR="00C31A92" w:rsidRPr="00F970BD">
        <w:rPr>
          <w:rFonts w:ascii="Calibri" w:hAnsi="Calibri" w:cs="Calibri"/>
          <w:bCs/>
        </w:rPr>
        <w:t xml:space="preserve"> retention. The statutes requiring public disclosure of records apply more broadly than the statutes requiring records to be retained.</w:t>
      </w:r>
    </w:p>
    <w:p w14:paraId="57284BD5" w14:textId="77777777" w:rsidR="00C31A92" w:rsidRPr="00F970BD" w:rsidRDefault="00C31A92" w:rsidP="007B1598">
      <w:pPr>
        <w:numPr>
          <w:ilvl w:val="0"/>
          <w:numId w:val="7"/>
        </w:numPr>
        <w:spacing w:before="240"/>
        <w:rPr>
          <w:rFonts w:ascii="Calibri" w:hAnsi="Calibri" w:cs="Calibri"/>
          <w:bCs/>
        </w:rPr>
      </w:pPr>
      <w:r w:rsidRPr="00F970BD">
        <w:rPr>
          <w:rFonts w:ascii="Calibri" w:hAnsi="Calibri" w:cs="Calibri"/>
          <w:bCs/>
        </w:rPr>
        <w:t xml:space="preserve">The </w:t>
      </w:r>
      <w:r w:rsidR="00165B25">
        <w:rPr>
          <w:rFonts w:ascii="Calibri" w:hAnsi="Calibri" w:cs="Calibri"/>
          <w:bCs/>
        </w:rPr>
        <w:t xml:space="preserve">law does not require the </w:t>
      </w:r>
      <w:r w:rsidR="00B2185F">
        <w:rPr>
          <w:rFonts w:ascii="Calibri" w:hAnsi="Calibri" w:cs="Calibri"/>
          <w:bCs/>
        </w:rPr>
        <w:t>[AGENCY]</w:t>
      </w:r>
      <w:r w:rsidRPr="00F970BD">
        <w:rPr>
          <w:rFonts w:ascii="Calibri" w:hAnsi="Calibri" w:cs="Calibri"/>
          <w:bCs/>
        </w:rPr>
        <w:t xml:space="preserve"> to create </w:t>
      </w:r>
      <w:r w:rsidR="008D09C6">
        <w:rPr>
          <w:rFonts w:ascii="Calibri" w:hAnsi="Calibri" w:cs="Calibri"/>
          <w:bCs/>
        </w:rPr>
        <w:t xml:space="preserve">a </w:t>
      </w:r>
      <w:r w:rsidRPr="00F970BD">
        <w:rPr>
          <w:rFonts w:ascii="Calibri" w:hAnsi="Calibri" w:cs="Calibri"/>
          <w:bCs/>
        </w:rPr>
        <w:t>public record that would not otherwise exist.</w:t>
      </w:r>
    </w:p>
    <w:p w14:paraId="57284BD6" w14:textId="77777777" w:rsidR="00C31A92" w:rsidRPr="00F970BD" w:rsidRDefault="00165B25" w:rsidP="007B1598">
      <w:pPr>
        <w:numPr>
          <w:ilvl w:val="0"/>
          <w:numId w:val="7"/>
        </w:numPr>
        <w:spacing w:before="240"/>
        <w:rPr>
          <w:rFonts w:ascii="Calibri" w:hAnsi="Calibri" w:cs="Calibri"/>
          <w:bCs/>
        </w:rPr>
      </w:pPr>
      <w:r>
        <w:rPr>
          <w:rFonts w:ascii="Calibri" w:hAnsi="Calibri" w:cs="Calibri"/>
          <w:bCs/>
        </w:rPr>
        <w:t xml:space="preserve">The </w:t>
      </w:r>
      <w:r w:rsidR="00B2185F">
        <w:rPr>
          <w:rFonts w:ascii="Calibri" w:hAnsi="Calibri" w:cs="Calibri"/>
          <w:bCs/>
        </w:rPr>
        <w:t>[AGENCY]</w:t>
      </w:r>
      <w:r>
        <w:rPr>
          <w:rFonts w:ascii="Calibri" w:hAnsi="Calibri" w:cs="Calibri"/>
          <w:bCs/>
        </w:rPr>
        <w:t xml:space="preserve"> must retain o</w:t>
      </w:r>
      <w:r w:rsidR="00C31A92" w:rsidRPr="00F970BD">
        <w:rPr>
          <w:rFonts w:ascii="Calibri" w:hAnsi="Calibri" w:cs="Calibri"/>
          <w:bCs/>
        </w:rPr>
        <w:t xml:space="preserve">nly the official copy of </w:t>
      </w:r>
      <w:r w:rsidR="00B662E5" w:rsidRPr="00F970BD">
        <w:rPr>
          <w:rFonts w:ascii="Calibri" w:hAnsi="Calibri" w:cs="Calibri"/>
          <w:bCs/>
        </w:rPr>
        <w:t>a public record. Stocks of publications are not public records and may be preserved for convenience or destroyed.</w:t>
      </w:r>
    </w:p>
    <w:p w14:paraId="57284BD7" w14:textId="77777777" w:rsidR="00C52B67" w:rsidRPr="006D27F3" w:rsidRDefault="00C52B67" w:rsidP="007B1598">
      <w:pPr>
        <w:numPr>
          <w:ilvl w:val="0"/>
          <w:numId w:val="7"/>
        </w:numPr>
        <w:spacing w:before="240"/>
        <w:rPr>
          <w:rFonts w:ascii="Calibri" w:hAnsi="Calibri" w:cs="Calibri"/>
        </w:rPr>
      </w:pPr>
      <w:r w:rsidRPr="006D27F3">
        <w:rPr>
          <w:rFonts w:ascii="Calibri" w:hAnsi="Calibri" w:cs="Calibri"/>
        </w:rPr>
        <w:lastRenderedPageBreak/>
        <w:t xml:space="preserve">The </w:t>
      </w:r>
      <w:r w:rsidR="00B2185F">
        <w:rPr>
          <w:rFonts w:ascii="Calibri" w:hAnsi="Calibri" w:cs="Calibri"/>
        </w:rPr>
        <w:t>[AGENCY]</w:t>
      </w:r>
      <w:r w:rsidRPr="006D27F3">
        <w:rPr>
          <w:rFonts w:ascii="Calibri" w:hAnsi="Calibri" w:cs="Calibri"/>
        </w:rPr>
        <w:t xml:space="preserve"> will conduct an annual “Records Clean-Out Day” to remove and destroy courtesy copies of documents or to organize original documents.</w:t>
      </w:r>
    </w:p>
    <w:p w14:paraId="57284BD8" w14:textId="77777777" w:rsidR="00C52B67" w:rsidRPr="00B2185F" w:rsidRDefault="00C52B67" w:rsidP="007B1598">
      <w:pPr>
        <w:numPr>
          <w:ilvl w:val="0"/>
          <w:numId w:val="7"/>
        </w:numPr>
        <w:spacing w:before="240"/>
        <w:rPr>
          <w:rFonts w:ascii="Calibri" w:hAnsi="Calibri" w:cs="Calibri"/>
        </w:rPr>
      </w:pPr>
      <w:r w:rsidRPr="00B2185F">
        <w:rPr>
          <w:rFonts w:ascii="Calibri" w:hAnsi="Calibri" w:cs="Calibri"/>
          <w:bCs/>
        </w:rPr>
        <w:t>When</w:t>
      </w:r>
      <w:r w:rsidRPr="00B2185F">
        <w:rPr>
          <w:rFonts w:ascii="Calibri" w:hAnsi="Calibri" w:cs="Calibri"/>
        </w:rPr>
        <w:t xml:space="preserve"> preparing </w:t>
      </w:r>
      <w:r w:rsidR="0098719D" w:rsidRPr="00B2185F">
        <w:rPr>
          <w:rFonts w:ascii="Calibri" w:hAnsi="Calibri" w:cs="Calibri"/>
        </w:rPr>
        <w:t xml:space="preserve">public records </w:t>
      </w:r>
      <w:r w:rsidRPr="00B2185F">
        <w:rPr>
          <w:rFonts w:ascii="Calibri" w:hAnsi="Calibri" w:cs="Calibri"/>
        </w:rPr>
        <w:t>for permanent transfer to State Archives</w:t>
      </w:r>
      <w:r w:rsidR="008D09C6" w:rsidRPr="00B2185F">
        <w:rPr>
          <w:rFonts w:ascii="Calibri" w:hAnsi="Calibri" w:cs="Calibri"/>
        </w:rPr>
        <w:t xml:space="preserve">, the </w:t>
      </w:r>
      <w:r w:rsidR="00B2185F">
        <w:rPr>
          <w:rFonts w:ascii="Calibri" w:hAnsi="Calibri" w:cs="Calibri"/>
        </w:rPr>
        <w:t>[AGENCY]</w:t>
      </w:r>
      <w:r w:rsidR="008D09C6" w:rsidRPr="00B2185F">
        <w:rPr>
          <w:rFonts w:ascii="Calibri" w:hAnsi="Calibri" w:cs="Calibri"/>
        </w:rPr>
        <w:t xml:space="preserve"> can store </w:t>
      </w:r>
      <w:r w:rsidR="0098719D" w:rsidRPr="00B2185F">
        <w:rPr>
          <w:rFonts w:ascii="Calibri" w:hAnsi="Calibri" w:cs="Calibri"/>
        </w:rPr>
        <w:t xml:space="preserve">the </w:t>
      </w:r>
      <w:r w:rsidRPr="00B2185F">
        <w:rPr>
          <w:rFonts w:ascii="Calibri" w:hAnsi="Calibri" w:cs="Calibri"/>
        </w:rPr>
        <w:t xml:space="preserve">records </w:t>
      </w:r>
      <w:r w:rsidR="0098719D" w:rsidRPr="00B2185F">
        <w:rPr>
          <w:rFonts w:ascii="Calibri" w:hAnsi="Calibri" w:cs="Calibri"/>
        </w:rPr>
        <w:t>on paper or on microfilm.</w:t>
      </w:r>
    </w:p>
    <w:p w14:paraId="57284BD9" w14:textId="77777777" w:rsidR="0098719D" w:rsidRPr="00B2185F" w:rsidRDefault="00B2185F" w:rsidP="0098719D">
      <w:pPr>
        <w:numPr>
          <w:ilvl w:val="0"/>
          <w:numId w:val="7"/>
        </w:numPr>
        <w:spacing w:before="240"/>
        <w:rPr>
          <w:rFonts w:ascii="Calibri" w:hAnsi="Calibri" w:cs="Calibri"/>
        </w:rPr>
      </w:pPr>
      <w:r>
        <w:rPr>
          <w:rFonts w:ascii="Calibri" w:hAnsi="Calibri" w:cs="Calibri"/>
        </w:rPr>
        <w:t>[AGENCY]</w:t>
      </w:r>
      <w:r w:rsidR="0098719D" w:rsidRPr="00B2185F">
        <w:rPr>
          <w:rFonts w:ascii="Calibri" w:hAnsi="Calibri" w:cs="Calibri"/>
        </w:rPr>
        <w:t xml:space="preserve"> will migrate information to newer formats as older ones become defunct. Any record with a retention greater than 10 years should be saved into a standard format such as .pdf for text; .tiff or .jpeg 2000 for images; .mp3 for audio; and .mp4 for video.</w:t>
      </w:r>
    </w:p>
    <w:p w14:paraId="57284BDA" w14:textId="77777777" w:rsidR="006C05B4" w:rsidRPr="00F970BD" w:rsidRDefault="006C05B4" w:rsidP="006C05B4">
      <w:pPr>
        <w:pStyle w:val="BodyText"/>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BDB" w14:textId="77777777" w:rsidR="008D09C6" w:rsidRDefault="00742CCE" w:rsidP="007B1598">
      <w:pPr>
        <w:pStyle w:val="BodyText"/>
        <w:spacing w:before="240"/>
        <w:rPr>
          <w:rFonts w:asciiTheme="minorHAnsi" w:hAnsiTheme="minorHAnsi" w:cstheme="minorHAnsi"/>
        </w:rPr>
      </w:pPr>
      <w:r w:rsidRPr="007B1598">
        <w:rPr>
          <w:rFonts w:asciiTheme="minorHAnsi" w:hAnsiTheme="minorHAnsi" w:cstheme="minorHAnsi"/>
          <w:b/>
        </w:rPr>
        <w:t>General information</w:t>
      </w:r>
      <w:r w:rsidRPr="00F970BD">
        <w:rPr>
          <w:rFonts w:asciiTheme="minorHAnsi" w:hAnsiTheme="minorHAnsi" w:cstheme="minorHAnsi"/>
          <w:b/>
        </w:rPr>
        <w:t>:</w:t>
      </w:r>
    </w:p>
    <w:p w14:paraId="57284BDC" w14:textId="77777777" w:rsidR="008D09C6" w:rsidRPr="006D27F3" w:rsidRDefault="008D09C6" w:rsidP="008D09C6">
      <w:pPr>
        <w:spacing w:before="240"/>
        <w:rPr>
          <w:rFonts w:ascii="Calibri" w:hAnsi="Calibri" w:cs="Calibri"/>
          <w:bCs/>
        </w:rPr>
      </w:pPr>
      <w:r w:rsidRPr="00F970BD">
        <w:rPr>
          <w:rFonts w:ascii="Calibri" w:hAnsi="Calibri" w:cs="Calibri"/>
          <w:bCs/>
        </w:rPr>
        <w:t xml:space="preserve">The goal of this policy is to ensure that the </w:t>
      </w:r>
      <w:r w:rsidR="00B2185F">
        <w:rPr>
          <w:rFonts w:ascii="Calibri" w:hAnsi="Calibri" w:cs="Calibri"/>
          <w:bCs/>
        </w:rPr>
        <w:t>[AGENCY]</w:t>
      </w:r>
      <w:r w:rsidRPr="00F970BD">
        <w:rPr>
          <w:rFonts w:ascii="Calibri" w:hAnsi="Calibri" w:cs="Calibri"/>
          <w:bCs/>
        </w:rPr>
        <w:t xml:space="preserve">’s public records are managed and maintained appropriately within </w:t>
      </w:r>
      <w:r w:rsidRPr="006D27F3">
        <w:rPr>
          <w:rFonts w:ascii="Calibri" w:hAnsi="Calibri" w:cs="Calibri"/>
          <w:bCs/>
        </w:rPr>
        <w:t xml:space="preserve">the </w:t>
      </w:r>
      <w:r w:rsidR="00B2185F">
        <w:rPr>
          <w:rFonts w:ascii="Calibri" w:hAnsi="Calibri" w:cs="Calibri"/>
          <w:bCs/>
        </w:rPr>
        <w:t>[AGENCY]</w:t>
      </w:r>
      <w:r w:rsidRPr="006D27F3">
        <w:rPr>
          <w:rFonts w:ascii="Calibri" w:hAnsi="Calibri" w:cs="Calibri"/>
          <w:bCs/>
        </w:rPr>
        <w:t xml:space="preserve"> by:</w:t>
      </w:r>
    </w:p>
    <w:p w14:paraId="57284BDD" w14:textId="77777777" w:rsidR="008D09C6" w:rsidRPr="006D27F3" w:rsidRDefault="008D09C6" w:rsidP="007B1598">
      <w:pPr>
        <w:numPr>
          <w:ilvl w:val="0"/>
          <w:numId w:val="5"/>
        </w:numPr>
        <w:tabs>
          <w:tab w:val="left" w:pos="1080"/>
        </w:tabs>
        <w:spacing w:before="240"/>
        <w:ind w:left="1080" w:hanging="540"/>
        <w:rPr>
          <w:rFonts w:ascii="Calibri" w:hAnsi="Calibri" w:cs="Calibri"/>
          <w:bCs/>
        </w:rPr>
      </w:pPr>
      <w:r w:rsidRPr="006D27F3">
        <w:rPr>
          <w:rFonts w:ascii="Calibri" w:hAnsi="Calibri" w:cs="Calibri"/>
        </w:rPr>
        <w:t>Meeting</w:t>
      </w:r>
      <w:r w:rsidRPr="006D27F3">
        <w:rPr>
          <w:rFonts w:ascii="Calibri" w:hAnsi="Calibri" w:cs="Calibri"/>
          <w:bCs/>
        </w:rPr>
        <w:t xml:space="preserve"> </w:t>
      </w:r>
      <w:r w:rsidR="004710EE" w:rsidRPr="006D27F3">
        <w:rPr>
          <w:rFonts w:ascii="Calibri" w:hAnsi="Calibri" w:cs="Calibri"/>
          <w:bCs/>
        </w:rPr>
        <w:t>the requirements of ORS 192.018</w:t>
      </w:r>
      <w:r w:rsidR="006D27F3">
        <w:rPr>
          <w:rFonts w:ascii="Calibri" w:hAnsi="Calibri" w:cs="Calibri"/>
          <w:bCs/>
        </w:rPr>
        <w:t>;</w:t>
      </w:r>
    </w:p>
    <w:p w14:paraId="57284BDE" w14:textId="77777777" w:rsidR="008D09C6" w:rsidRPr="006D27F3" w:rsidRDefault="008D09C6" w:rsidP="007B1598">
      <w:pPr>
        <w:numPr>
          <w:ilvl w:val="0"/>
          <w:numId w:val="5"/>
        </w:numPr>
        <w:tabs>
          <w:tab w:val="left" w:pos="1080"/>
        </w:tabs>
        <w:spacing w:before="240"/>
        <w:ind w:left="1080" w:hanging="540"/>
        <w:rPr>
          <w:rFonts w:ascii="Calibri" w:hAnsi="Calibri" w:cs="Calibri"/>
          <w:bCs/>
        </w:rPr>
      </w:pPr>
      <w:r w:rsidRPr="006D27F3">
        <w:rPr>
          <w:rFonts w:ascii="Calibri" w:hAnsi="Calibri" w:cs="Calibri"/>
        </w:rPr>
        <w:t>Establishing</w:t>
      </w:r>
      <w:r w:rsidRPr="006D27F3">
        <w:rPr>
          <w:rFonts w:ascii="Calibri" w:hAnsi="Calibri" w:cs="Calibri"/>
          <w:bCs/>
        </w:rPr>
        <w:t xml:space="preserve"> ordered and consistent processes for maintaining and managing all records at the Oregon </w:t>
      </w:r>
      <w:r w:rsidR="00B2185F">
        <w:rPr>
          <w:rFonts w:ascii="Calibri" w:hAnsi="Calibri" w:cs="Calibri"/>
          <w:bCs/>
        </w:rPr>
        <w:t>[AGENCY]</w:t>
      </w:r>
      <w:r w:rsidR="004710EE" w:rsidRPr="006D27F3">
        <w:rPr>
          <w:rFonts w:ascii="Calibri" w:hAnsi="Calibri" w:cs="Calibri"/>
          <w:bCs/>
        </w:rPr>
        <w:t>, regardless of form or media</w:t>
      </w:r>
      <w:r w:rsidR="006D27F3">
        <w:rPr>
          <w:rFonts w:ascii="Calibri" w:hAnsi="Calibri" w:cs="Calibri"/>
          <w:bCs/>
        </w:rPr>
        <w:t>;</w:t>
      </w:r>
    </w:p>
    <w:p w14:paraId="57284BDF" w14:textId="77777777" w:rsidR="008D09C6" w:rsidRPr="006D27F3" w:rsidRDefault="008D09C6" w:rsidP="007B1598">
      <w:pPr>
        <w:numPr>
          <w:ilvl w:val="0"/>
          <w:numId w:val="5"/>
        </w:numPr>
        <w:tabs>
          <w:tab w:val="left" w:pos="1080"/>
        </w:tabs>
        <w:spacing w:before="240"/>
        <w:ind w:left="1080" w:hanging="540"/>
        <w:rPr>
          <w:rFonts w:ascii="Calibri" w:hAnsi="Calibri" w:cs="Calibri"/>
        </w:rPr>
      </w:pPr>
      <w:r w:rsidRPr="006D27F3">
        <w:rPr>
          <w:rFonts w:ascii="Calibri" w:hAnsi="Calibri" w:cs="Calibri"/>
        </w:rPr>
        <w:t xml:space="preserve">Generally setting forth the applicable provisions of Oregon’s public records law regarding the disclosure of </w:t>
      </w:r>
      <w:r w:rsidR="00B2185F">
        <w:rPr>
          <w:rFonts w:ascii="Calibri" w:hAnsi="Calibri" w:cs="Calibri"/>
        </w:rPr>
        <w:t>[AGENCY]</w:t>
      </w:r>
      <w:r w:rsidRPr="006D27F3">
        <w:rPr>
          <w:rFonts w:ascii="Calibri" w:hAnsi="Calibri" w:cs="Calibri"/>
        </w:rPr>
        <w:t xml:space="preserve"> public records in response</w:t>
      </w:r>
      <w:r w:rsidR="004710EE" w:rsidRPr="006D27F3">
        <w:rPr>
          <w:rFonts w:ascii="Calibri" w:hAnsi="Calibri" w:cs="Calibri"/>
        </w:rPr>
        <w:t xml:space="preserve"> to public records requests</w:t>
      </w:r>
      <w:r w:rsidR="006D27F3">
        <w:rPr>
          <w:rFonts w:ascii="Calibri" w:hAnsi="Calibri" w:cs="Calibri"/>
        </w:rPr>
        <w:t>; and</w:t>
      </w:r>
    </w:p>
    <w:p w14:paraId="57284BE0" w14:textId="77777777" w:rsidR="008D09C6" w:rsidRPr="006D27F3" w:rsidRDefault="008D09C6" w:rsidP="007B1598">
      <w:pPr>
        <w:numPr>
          <w:ilvl w:val="0"/>
          <w:numId w:val="5"/>
        </w:numPr>
        <w:tabs>
          <w:tab w:val="left" w:pos="1080"/>
        </w:tabs>
        <w:spacing w:before="240"/>
        <w:ind w:left="1080" w:hanging="540"/>
        <w:rPr>
          <w:rFonts w:ascii="Calibri" w:hAnsi="Calibri" w:cs="Calibri"/>
        </w:rPr>
      </w:pPr>
      <w:r w:rsidRPr="006D27F3">
        <w:rPr>
          <w:rFonts w:ascii="Calibri" w:hAnsi="Calibri" w:cs="Calibri"/>
        </w:rPr>
        <w:t>Alerting employees to the compl</w:t>
      </w:r>
      <w:r w:rsidR="004710EE" w:rsidRPr="006D27F3">
        <w:rPr>
          <w:rFonts w:ascii="Calibri" w:hAnsi="Calibri" w:cs="Calibri"/>
        </w:rPr>
        <w:t>exities of this area of the law</w:t>
      </w:r>
      <w:r w:rsidR="006D27F3">
        <w:rPr>
          <w:rFonts w:ascii="Calibri" w:hAnsi="Calibri" w:cs="Calibri"/>
        </w:rPr>
        <w:t>.</w:t>
      </w:r>
    </w:p>
    <w:p w14:paraId="57284BE1" w14:textId="77777777" w:rsidR="00742CCE" w:rsidRPr="007B1598" w:rsidRDefault="00742CCE" w:rsidP="008D09C6">
      <w:pPr>
        <w:pStyle w:val="BodyText"/>
        <w:spacing w:before="240"/>
        <w:rPr>
          <w:rFonts w:asciiTheme="minorHAnsi" w:hAnsiTheme="minorHAnsi" w:cstheme="minorHAnsi"/>
        </w:rPr>
      </w:pPr>
      <w:r w:rsidRPr="007B1598">
        <w:rPr>
          <w:rFonts w:asciiTheme="minorHAnsi" w:hAnsiTheme="minorHAnsi" w:cstheme="minorHAnsi"/>
        </w:rPr>
        <w:t>This policy addresses the following components:</w:t>
      </w:r>
    </w:p>
    <w:p w14:paraId="57284BE2" w14:textId="77777777" w:rsidR="00742CCE" w:rsidRPr="007B1598" w:rsidRDefault="00742CCE" w:rsidP="007B1598">
      <w:pPr>
        <w:pStyle w:val="BodyText"/>
        <w:tabs>
          <w:tab w:val="left" w:pos="1080"/>
        </w:tabs>
        <w:spacing w:before="240"/>
        <w:ind w:left="540"/>
        <w:rPr>
          <w:rFonts w:asciiTheme="minorHAnsi" w:hAnsiTheme="minorHAnsi" w:cstheme="minorHAnsi"/>
        </w:rPr>
      </w:pPr>
      <w:r w:rsidRPr="007B1598">
        <w:rPr>
          <w:rFonts w:asciiTheme="minorHAnsi" w:hAnsiTheme="minorHAnsi" w:cstheme="minorHAnsi"/>
        </w:rPr>
        <w:t>1.</w:t>
      </w:r>
      <w:r w:rsidRPr="007B1598">
        <w:rPr>
          <w:rFonts w:asciiTheme="minorHAnsi" w:hAnsiTheme="minorHAnsi" w:cstheme="minorHAnsi"/>
        </w:rPr>
        <w:tab/>
        <w:t>Public records maintenance</w:t>
      </w:r>
    </w:p>
    <w:p w14:paraId="57284BE3" w14:textId="77777777" w:rsidR="00742CCE" w:rsidRPr="007B1598" w:rsidRDefault="00742CCE" w:rsidP="007B1598">
      <w:pPr>
        <w:pStyle w:val="BodyText"/>
        <w:tabs>
          <w:tab w:val="left" w:pos="1080"/>
        </w:tabs>
        <w:ind w:left="540"/>
        <w:rPr>
          <w:rFonts w:asciiTheme="minorHAnsi" w:hAnsiTheme="minorHAnsi" w:cstheme="minorHAnsi"/>
        </w:rPr>
      </w:pPr>
      <w:r w:rsidRPr="007B1598">
        <w:rPr>
          <w:rFonts w:asciiTheme="minorHAnsi" w:hAnsiTheme="minorHAnsi" w:cstheme="minorHAnsi"/>
        </w:rPr>
        <w:t>2.</w:t>
      </w:r>
      <w:r w:rsidRPr="007B1598">
        <w:rPr>
          <w:rFonts w:asciiTheme="minorHAnsi" w:hAnsiTheme="minorHAnsi" w:cstheme="minorHAnsi"/>
        </w:rPr>
        <w:tab/>
        <w:t>Roles and responsibilities</w:t>
      </w:r>
    </w:p>
    <w:p w14:paraId="57284BE4" w14:textId="77777777" w:rsidR="00742CCE" w:rsidRPr="007B1598" w:rsidRDefault="00742CCE" w:rsidP="007B1598">
      <w:pPr>
        <w:pStyle w:val="BodyText"/>
        <w:tabs>
          <w:tab w:val="left" w:pos="1080"/>
        </w:tabs>
        <w:ind w:left="540"/>
        <w:rPr>
          <w:rFonts w:asciiTheme="minorHAnsi" w:hAnsiTheme="minorHAnsi" w:cstheme="minorHAnsi"/>
        </w:rPr>
      </w:pPr>
      <w:r w:rsidRPr="007B1598">
        <w:rPr>
          <w:rFonts w:asciiTheme="minorHAnsi" w:hAnsiTheme="minorHAnsi" w:cstheme="minorHAnsi"/>
        </w:rPr>
        <w:t>3.</w:t>
      </w:r>
      <w:r w:rsidRPr="007B1598">
        <w:rPr>
          <w:rFonts w:asciiTheme="minorHAnsi" w:hAnsiTheme="minorHAnsi" w:cstheme="minorHAnsi"/>
        </w:rPr>
        <w:tab/>
        <w:t>Education and training</w:t>
      </w:r>
    </w:p>
    <w:p w14:paraId="57284BE5" w14:textId="77777777" w:rsidR="00742CCE" w:rsidRPr="007B1598" w:rsidRDefault="00742CCE" w:rsidP="007B1598">
      <w:pPr>
        <w:pStyle w:val="BodyText"/>
        <w:tabs>
          <w:tab w:val="left" w:pos="1080"/>
        </w:tabs>
        <w:ind w:left="540"/>
        <w:rPr>
          <w:rFonts w:asciiTheme="minorHAnsi" w:hAnsiTheme="minorHAnsi" w:cstheme="minorHAnsi"/>
        </w:rPr>
      </w:pPr>
      <w:r w:rsidRPr="007B1598">
        <w:rPr>
          <w:rFonts w:asciiTheme="minorHAnsi" w:hAnsiTheme="minorHAnsi" w:cstheme="minorHAnsi"/>
        </w:rPr>
        <w:t>4.</w:t>
      </w:r>
      <w:r w:rsidRPr="007B1598">
        <w:rPr>
          <w:rFonts w:asciiTheme="minorHAnsi" w:hAnsiTheme="minorHAnsi" w:cstheme="minorHAnsi"/>
        </w:rPr>
        <w:tab/>
        <w:t>Access and ownership</w:t>
      </w:r>
    </w:p>
    <w:p w14:paraId="57284BE6" w14:textId="77777777" w:rsidR="00742CCE" w:rsidRPr="007B1598" w:rsidRDefault="00742CCE" w:rsidP="007B1598">
      <w:pPr>
        <w:pStyle w:val="BodyText"/>
        <w:tabs>
          <w:tab w:val="left" w:pos="1080"/>
        </w:tabs>
        <w:ind w:left="540"/>
        <w:rPr>
          <w:rFonts w:asciiTheme="minorHAnsi" w:hAnsiTheme="minorHAnsi" w:cstheme="minorHAnsi"/>
        </w:rPr>
      </w:pPr>
      <w:r w:rsidRPr="007B1598">
        <w:rPr>
          <w:rFonts w:asciiTheme="minorHAnsi" w:hAnsiTheme="minorHAnsi" w:cstheme="minorHAnsi"/>
        </w:rPr>
        <w:t>5.</w:t>
      </w:r>
      <w:r w:rsidRPr="007B1598">
        <w:rPr>
          <w:rFonts w:asciiTheme="minorHAnsi" w:hAnsiTheme="minorHAnsi" w:cstheme="minorHAnsi"/>
        </w:rPr>
        <w:tab/>
        <w:t>Integrity</w:t>
      </w:r>
    </w:p>
    <w:p w14:paraId="57284BE7" w14:textId="77777777" w:rsidR="00742CCE" w:rsidRPr="007B1598" w:rsidRDefault="00742CCE" w:rsidP="007B1598">
      <w:pPr>
        <w:pStyle w:val="BodyText"/>
        <w:tabs>
          <w:tab w:val="left" w:pos="1080"/>
        </w:tabs>
        <w:ind w:left="540"/>
        <w:rPr>
          <w:rFonts w:asciiTheme="minorHAnsi" w:hAnsiTheme="minorHAnsi" w:cstheme="minorHAnsi"/>
        </w:rPr>
      </w:pPr>
      <w:r w:rsidRPr="007B1598">
        <w:rPr>
          <w:rFonts w:asciiTheme="minorHAnsi" w:hAnsiTheme="minorHAnsi" w:cstheme="minorHAnsi"/>
        </w:rPr>
        <w:t>6.</w:t>
      </w:r>
      <w:r w:rsidRPr="007B1598">
        <w:rPr>
          <w:rFonts w:asciiTheme="minorHAnsi" w:hAnsiTheme="minorHAnsi" w:cstheme="minorHAnsi"/>
        </w:rPr>
        <w:tab/>
        <w:t>Retention generally</w:t>
      </w:r>
    </w:p>
    <w:p w14:paraId="57284BE8" w14:textId="77777777" w:rsidR="00742CCE" w:rsidRPr="007B1598" w:rsidRDefault="00742CCE" w:rsidP="007B1598">
      <w:pPr>
        <w:pStyle w:val="BodyText"/>
        <w:tabs>
          <w:tab w:val="left" w:pos="1080"/>
        </w:tabs>
        <w:ind w:left="540"/>
        <w:rPr>
          <w:rFonts w:asciiTheme="minorHAnsi" w:hAnsiTheme="minorHAnsi" w:cstheme="minorHAnsi"/>
        </w:rPr>
      </w:pPr>
      <w:r w:rsidRPr="007B1598">
        <w:rPr>
          <w:rFonts w:asciiTheme="minorHAnsi" w:hAnsiTheme="minorHAnsi" w:cstheme="minorHAnsi"/>
        </w:rPr>
        <w:t>7.</w:t>
      </w:r>
      <w:r w:rsidRPr="007B1598">
        <w:rPr>
          <w:rFonts w:asciiTheme="minorHAnsi" w:hAnsiTheme="minorHAnsi" w:cstheme="minorHAnsi"/>
        </w:rPr>
        <w:tab/>
        <w:t>Storage and retrieval</w:t>
      </w:r>
    </w:p>
    <w:p w14:paraId="57284BE9" w14:textId="77777777" w:rsidR="00742CCE" w:rsidRPr="007B1598" w:rsidRDefault="00742CCE" w:rsidP="007B1598">
      <w:pPr>
        <w:pStyle w:val="BodyText"/>
        <w:tabs>
          <w:tab w:val="left" w:pos="1080"/>
        </w:tabs>
        <w:ind w:left="540"/>
        <w:rPr>
          <w:rFonts w:asciiTheme="minorHAnsi" w:hAnsiTheme="minorHAnsi" w:cstheme="minorHAnsi"/>
        </w:rPr>
      </w:pPr>
      <w:r w:rsidRPr="007B1598">
        <w:rPr>
          <w:rFonts w:asciiTheme="minorHAnsi" w:hAnsiTheme="minorHAnsi" w:cstheme="minorHAnsi"/>
        </w:rPr>
        <w:t>8.</w:t>
      </w:r>
      <w:r w:rsidRPr="007B1598">
        <w:rPr>
          <w:rFonts w:asciiTheme="minorHAnsi" w:hAnsiTheme="minorHAnsi" w:cstheme="minorHAnsi"/>
        </w:rPr>
        <w:tab/>
        <w:t>Public records requests</w:t>
      </w:r>
    </w:p>
    <w:p w14:paraId="57284BEA" w14:textId="77777777" w:rsidR="00742CCE" w:rsidRPr="007B1598" w:rsidRDefault="00742CCE" w:rsidP="007B1598">
      <w:pPr>
        <w:pStyle w:val="BodyText"/>
        <w:tabs>
          <w:tab w:val="left" w:pos="1080"/>
        </w:tabs>
        <w:ind w:left="540"/>
        <w:rPr>
          <w:rFonts w:asciiTheme="minorHAnsi" w:hAnsiTheme="minorHAnsi" w:cstheme="minorHAnsi"/>
        </w:rPr>
      </w:pPr>
      <w:r w:rsidRPr="007B1598">
        <w:rPr>
          <w:rFonts w:asciiTheme="minorHAnsi" w:hAnsiTheme="minorHAnsi" w:cstheme="minorHAnsi"/>
        </w:rPr>
        <w:t>9.</w:t>
      </w:r>
      <w:r w:rsidRPr="007B1598">
        <w:rPr>
          <w:rFonts w:asciiTheme="minorHAnsi" w:hAnsiTheme="minorHAnsi" w:cstheme="minorHAnsi"/>
        </w:rPr>
        <w:tab/>
        <w:t>Disposition and destruction</w:t>
      </w:r>
    </w:p>
    <w:p w14:paraId="57284BEB" w14:textId="77777777" w:rsidR="00742CCE" w:rsidRPr="007B1598" w:rsidRDefault="00742CCE" w:rsidP="00165B25">
      <w:pPr>
        <w:pStyle w:val="BodyText"/>
        <w:spacing w:before="240"/>
        <w:jc w:val="left"/>
        <w:rPr>
          <w:rFonts w:asciiTheme="minorHAnsi" w:hAnsiTheme="minorHAnsi" w:cstheme="minorHAnsi"/>
        </w:rPr>
      </w:pPr>
      <w:r w:rsidRPr="007B1598">
        <w:rPr>
          <w:rFonts w:asciiTheme="minorHAnsi" w:hAnsiTheme="minorHAnsi" w:cstheme="minorHAnsi"/>
        </w:rPr>
        <w:t xml:space="preserve">The </w:t>
      </w:r>
      <w:r w:rsidR="00B2185F">
        <w:rPr>
          <w:rFonts w:asciiTheme="minorHAnsi" w:hAnsiTheme="minorHAnsi" w:cstheme="minorHAnsi"/>
        </w:rPr>
        <w:t>[AGENCY]</w:t>
      </w:r>
      <w:r w:rsidRPr="007B1598">
        <w:rPr>
          <w:rFonts w:asciiTheme="minorHAnsi" w:hAnsiTheme="minorHAnsi" w:cstheme="minorHAnsi"/>
        </w:rPr>
        <w:t xml:space="preserve"> shall develop and implement internal processes and procedures that support compliance with this policy, deter abuse, and detect violations of this policy.</w:t>
      </w:r>
    </w:p>
    <w:p w14:paraId="57284BEC" w14:textId="77777777" w:rsidR="00742CCE" w:rsidRPr="00F970BD" w:rsidRDefault="00742CCE" w:rsidP="00742CCE">
      <w:pPr>
        <w:pStyle w:val="BodyText"/>
        <w:rPr>
          <w:rFonts w:ascii="Calibri" w:hAnsi="Calibri" w:cs="Calibri"/>
          <w:b/>
          <w:u w:val="single"/>
        </w:rPr>
      </w:pP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r w:rsidRPr="00F970BD">
        <w:rPr>
          <w:rFonts w:ascii="Calibri" w:hAnsi="Calibri" w:cs="Calibri"/>
          <w:b/>
          <w:u w:val="single"/>
        </w:rPr>
        <w:tab/>
      </w:r>
    </w:p>
    <w:p w14:paraId="57284BED" w14:textId="77777777" w:rsidR="00F947EC" w:rsidRPr="00F970BD" w:rsidRDefault="00F947EC" w:rsidP="0005640B">
      <w:pPr>
        <w:spacing w:before="240"/>
        <w:rPr>
          <w:rFonts w:asciiTheme="minorHAnsi" w:hAnsiTheme="minorHAnsi" w:cstheme="minorHAnsi"/>
        </w:rPr>
      </w:pPr>
      <w:r w:rsidRPr="00F970BD">
        <w:rPr>
          <w:rFonts w:asciiTheme="minorHAnsi" w:hAnsiTheme="minorHAnsi" w:cstheme="minorHAnsi"/>
          <w:b/>
        </w:rPr>
        <w:t>D</w:t>
      </w:r>
      <w:r w:rsidR="00354F0C" w:rsidRPr="00F970BD">
        <w:rPr>
          <w:rFonts w:asciiTheme="minorHAnsi" w:hAnsiTheme="minorHAnsi" w:cstheme="minorHAnsi"/>
          <w:b/>
        </w:rPr>
        <w:t>efinitions</w:t>
      </w:r>
      <w:r w:rsidRPr="00F970BD">
        <w:rPr>
          <w:rFonts w:asciiTheme="minorHAnsi" w:hAnsiTheme="minorHAnsi" w:cstheme="minorHAnsi"/>
          <w:b/>
        </w:rPr>
        <w:t>:</w:t>
      </w:r>
    </w:p>
    <w:p w14:paraId="57284BEE" w14:textId="77777777" w:rsidR="00F947EC" w:rsidRPr="00F970BD" w:rsidRDefault="00F947EC" w:rsidP="0005640B">
      <w:pPr>
        <w:spacing w:before="240"/>
        <w:rPr>
          <w:rFonts w:asciiTheme="minorHAnsi" w:hAnsiTheme="minorHAnsi" w:cstheme="minorHAnsi"/>
        </w:rPr>
      </w:pPr>
      <w:r w:rsidRPr="00F970BD">
        <w:rPr>
          <w:rFonts w:asciiTheme="minorHAnsi" w:hAnsiTheme="minorHAnsi" w:cstheme="minorHAnsi"/>
          <w:b/>
        </w:rPr>
        <w:lastRenderedPageBreak/>
        <w:t xml:space="preserve">“Cloud </w:t>
      </w:r>
      <w:r w:rsidR="00FA059D" w:rsidRPr="00F970BD">
        <w:rPr>
          <w:rFonts w:asciiTheme="minorHAnsi" w:hAnsiTheme="minorHAnsi" w:cstheme="minorHAnsi"/>
          <w:b/>
        </w:rPr>
        <w:t>c</w:t>
      </w:r>
      <w:r w:rsidRPr="00F970BD">
        <w:rPr>
          <w:rFonts w:asciiTheme="minorHAnsi" w:hAnsiTheme="minorHAnsi" w:cstheme="minorHAnsi"/>
          <w:b/>
        </w:rPr>
        <w:t>omputing”</w:t>
      </w:r>
      <w:r w:rsidR="00742CCE" w:rsidRPr="007B1598">
        <w:rPr>
          <w:rFonts w:asciiTheme="minorHAnsi" w:hAnsiTheme="minorHAnsi" w:cstheme="minorHAnsi"/>
        </w:rPr>
        <w:t xml:space="preserve"> has the meaning as defined in the National Institute of Standards and Technology Special Publication 800-145 and generally</w:t>
      </w:r>
      <w:r w:rsidR="00422FF8" w:rsidRPr="007B1598">
        <w:rPr>
          <w:rFonts w:asciiTheme="minorHAnsi" w:hAnsiTheme="minorHAnsi" w:cstheme="minorHAnsi"/>
        </w:rPr>
        <w:t xml:space="preserve"> refers to the</w:t>
      </w:r>
      <w:r w:rsidRPr="007B1598">
        <w:rPr>
          <w:rFonts w:asciiTheme="minorHAnsi" w:hAnsiTheme="minorHAnsi" w:cstheme="minorHAnsi"/>
        </w:rPr>
        <w:t xml:space="preserve"> delivery of computing as a service rather than a product, where shared resources, software, and information are provided to computers and other devices as a utility over a network.</w:t>
      </w:r>
    </w:p>
    <w:p w14:paraId="57284BEF" w14:textId="77777777" w:rsidR="00742CCE" w:rsidRPr="00F970BD" w:rsidRDefault="00742CCE" w:rsidP="0005640B">
      <w:pPr>
        <w:spacing w:before="240"/>
        <w:rPr>
          <w:rFonts w:asciiTheme="minorHAnsi" w:hAnsiTheme="minorHAnsi" w:cstheme="minorHAnsi"/>
        </w:rPr>
      </w:pPr>
      <w:r w:rsidRPr="007B1598">
        <w:rPr>
          <w:rFonts w:asciiTheme="minorHAnsi" w:hAnsiTheme="minorHAnsi" w:cstheme="minorHAnsi"/>
          <w:b/>
        </w:rPr>
        <w:t>“Custodian”</w:t>
      </w:r>
      <w:r w:rsidRPr="00F970BD">
        <w:rPr>
          <w:rFonts w:asciiTheme="minorHAnsi" w:hAnsiTheme="minorHAnsi" w:cstheme="minorHAnsi"/>
        </w:rPr>
        <w:t xml:space="preserve"> refers to a public body mandated, directly or indirectly to create, maintain, care for or control a public record. “Custodian” does not include a public body that has </w:t>
      </w:r>
      <w:r w:rsidR="008D09C6">
        <w:rPr>
          <w:rFonts w:asciiTheme="minorHAnsi" w:hAnsiTheme="minorHAnsi" w:cstheme="minorHAnsi"/>
        </w:rPr>
        <w:t xml:space="preserve">possession </w:t>
      </w:r>
      <w:r w:rsidRPr="00F970BD">
        <w:rPr>
          <w:rFonts w:asciiTheme="minorHAnsi" w:hAnsiTheme="minorHAnsi" w:cstheme="minorHAnsi"/>
        </w:rPr>
        <w:t>of a public record as an agent of another public body that is the custodian, unless the public records is not otherwise available.</w:t>
      </w:r>
    </w:p>
    <w:p w14:paraId="57284BF0" w14:textId="77777777" w:rsidR="00DD0C68" w:rsidRPr="00F970BD" w:rsidRDefault="00DD0C68" w:rsidP="00FE5B07">
      <w:pPr>
        <w:spacing w:before="240"/>
        <w:ind w:right="-180"/>
        <w:rPr>
          <w:rFonts w:asciiTheme="minorHAnsi" w:hAnsiTheme="minorHAnsi" w:cstheme="minorHAnsi"/>
        </w:rPr>
      </w:pPr>
      <w:r w:rsidRPr="007B1598">
        <w:rPr>
          <w:rFonts w:asciiTheme="minorHAnsi" w:hAnsiTheme="minorHAnsi" w:cstheme="minorHAnsi"/>
          <w:b/>
        </w:rPr>
        <w:t>“Instant messages”</w:t>
      </w:r>
      <w:r w:rsidRPr="00F970BD">
        <w:rPr>
          <w:rFonts w:asciiTheme="minorHAnsi" w:hAnsiTheme="minorHAnsi" w:cstheme="minorHAnsi"/>
        </w:rPr>
        <w:t xml:space="preserve"> or </w:t>
      </w:r>
      <w:r w:rsidRPr="007B1598">
        <w:rPr>
          <w:rFonts w:asciiTheme="minorHAnsi" w:hAnsiTheme="minorHAnsi" w:cstheme="minorHAnsi"/>
          <w:b/>
        </w:rPr>
        <w:t>“instant messaging”</w:t>
      </w:r>
      <w:r w:rsidRPr="00F970BD">
        <w:rPr>
          <w:rFonts w:asciiTheme="minorHAnsi" w:hAnsiTheme="minorHAnsi" w:cstheme="minorHAnsi"/>
        </w:rPr>
        <w:t xml:space="preserve"> refers to real-time text communications between or among computers or mobile devices over the Internet or fun</w:t>
      </w:r>
      <w:r w:rsidR="00FE5B07" w:rsidRPr="007B1598">
        <w:rPr>
          <w:rFonts w:asciiTheme="minorHAnsi" w:hAnsiTheme="minorHAnsi" w:cstheme="minorHAnsi"/>
        </w:rPr>
        <w:t>c</w:t>
      </w:r>
      <w:r w:rsidRPr="00F970BD">
        <w:rPr>
          <w:rFonts w:asciiTheme="minorHAnsi" w:hAnsiTheme="minorHAnsi" w:cstheme="minorHAnsi"/>
        </w:rPr>
        <w:t>tionally similar communications netw</w:t>
      </w:r>
      <w:r w:rsidR="00FE5B07" w:rsidRPr="007B1598">
        <w:rPr>
          <w:rFonts w:asciiTheme="minorHAnsi" w:hAnsiTheme="minorHAnsi" w:cstheme="minorHAnsi"/>
        </w:rPr>
        <w:t>or</w:t>
      </w:r>
      <w:r w:rsidRPr="00F970BD">
        <w:rPr>
          <w:rFonts w:asciiTheme="minorHAnsi" w:hAnsiTheme="minorHAnsi" w:cstheme="minorHAnsi"/>
        </w:rPr>
        <w:t>ks.</w:t>
      </w:r>
    </w:p>
    <w:p w14:paraId="57284BF1" w14:textId="77777777" w:rsidR="00BA5E0E" w:rsidRPr="007B1598" w:rsidRDefault="00BA5E0E" w:rsidP="00FE5B07">
      <w:pPr>
        <w:spacing w:before="240"/>
        <w:ind w:right="-180"/>
        <w:rPr>
          <w:rFonts w:asciiTheme="minorHAnsi" w:hAnsiTheme="minorHAnsi" w:cstheme="minorHAnsi"/>
        </w:rPr>
      </w:pPr>
      <w:r w:rsidRPr="007B1598">
        <w:rPr>
          <w:rFonts w:asciiTheme="minorHAnsi" w:hAnsiTheme="minorHAnsi" w:cstheme="minorHAnsi"/>
          <w:b/>
        </w:rPr>
        <w:t>“Metadata”</w:t>
      </w:r>
      <w:r w:rsidRPr="00F970BD">
        <w:rPr>
          <w:rFonts w:asciiTheme="minorHAnsi" w:hAnsiTheme="minorHAnsi" w:cstheme="minorHAnsi"/>
        </w:rPr>
        <w:t xml:space="preserve"> is data that provides information about other data. Metadata assists in resource discovery by allowing resources to be found by relevant criteria, identifying resources, bringing similar resources together, distinguishing dissimilar resources, and giving location information.</w:t>
      </w:r>
    </w:p>
    <w:p w14:paraId="57284BF2" w14:textId="77777777" w:rsidR="00F947EC" w:rsidRPr="007B1598" w:rsidRDefault="00F947EC" w:rsidP="0005640B">
      <w:pPr>
        <w:spacing w:before="240"/>
        <w:rPr>
          <w:rFonts w:asciiTheme="minorHAnsi" w:hAnsiTheme="minorHAnsi" w:cstheme="minorHAnsi"/>
        </w:rPr>
      </w:pPr>
      <w:r w:rsidRPr="00F970BD">
        <w:rPr>
          <w:rFonts w:asciiTheme="minorHAnsi" w:hAnsiTheme="minorHAnsi" w:cstheme="minorHAnsi"/>
          <w:b/>
        </w:rPr>
        <w:t xml:space="preserve">“Public </w:t>
      </w:r>
      <w:r w:rsidR="00572585" w:rsidRPr="00F970BD">
        <w:rPr>
          <w:rFonts w:asciiTheme="minorHAnsi" w:hAnsiTheme="minorHAnsi" w:cstheme="minorHAnsi"/>
          <w:b/>
        </w:rPr>
        <w:t>r</w:t>
      </w:r>
      <w:r w:rsidRPr="00F970BD">
        <w:rPr>
          <w:rFonts w:asciiTheme="minorHAnsi" w:hAnsiTheme="minorHAnsi" w:cstheme="minorHAnsi"/>
          <w:b/>
        </w:rPr>
        <w:t>ecord”</w:t>
      </w:r>
      <w:r w:rsidR="00422FF8" w:rsidRPr="007B1598">
        <w:rPr>
          <w:rFonts w:asciiTheme="minorHAnsi" w:hAnsiTheme="minorHAnsi" w:cstheme="minorHAnsi"/>
        </w:rPr>
        <w:t xml:space="preserve"> has the meaning</w:t>
      </w:r>
      <w:r w:rsidR="00BA5E0E" w:rsidRPr="007B1598">
        <w:rPr>
          <w:rFonts w:asciiTheme="minorHAnsi" w:hAnsiTheme="minorHAnsi" w:cstheme="minorHAnsi"/>
        </w:rPr>
        <w:t xml:space="preserve"> established </w:t>
      </w:r>
      <w:r w:rsidRPr="007B1598">
        <w:rPr>
          <w:rFonts w:asciiTheme="minorHAnsi" w:hAnsiTheme="minorHAnsi" w:cstheme="minorHAnsi"/>
        </w:rPr>
        <w:t xml:space="preserve">in ORS 192.005, </w:t>
      </w:r>
      <w:r w:rsidR="00422FF8" w:rsidRPr="00F970BD">
        <w:rPr>
          <w:rFonts w:asciiTheme="minorHAnsi" w:hAnsiTheme="minorHAnsi" w:cstheme="minorHAnsi"/>
        </w:rPr>
        <w:t xml:space="preserve">and </w:t>
      </w:r>
      <w:r w:rsidR="00BA5E0E" w:rsidRPr="007B1598">
        <w:rPr>
          <w:rFonts w:asciiTheme="minorHAnsi" w:hAnsiTheme="minorHAnsi" w:cstheme="minorHAnsi"/>
        </w:rPr>
        <w:t xml:space="preserve">in general </w:t>
      </w:r>
      <w:r w:rsidR="00422FF8" w:rsidRPr="00F970BD">
        <w:rPr>
          <w:rFonts w:asciiTheme="minorHAnsi" w:hAnsiTheme="minorHAnsi" w:cstheme="minorHAnsi"/>
        </w:rPr>
        <w:t xml:space="preserve">means </w:t>
      </w:r>
      <w:r w:rsidRPr="007B1598">
        <w:rPr>
          <w:rFonts w:asciiTheme="minorHAnsi" w:hAnsiTheme="minorHAnsi" w:cstheme="minorHAnsi"/>
        </w:rPr>
        <w:t>any information</w:t>
      </w:r>
      <w:r w:rsidR="00BA5E0E" w:rsidRPr="00F970BD">
        <w:rPr>
          <w:rFonts w:asciiTheme="minorHAnsi" w:hAnsiTheme="minorHAnsi" w:cstheme="minorHAnsi"/>
        </w:rPr>
        <w:t xml:space="preserve"> that is</w:t>
      </w:r>
      <w:r w:rsidRPr="007B1598">
        <w:rPr>
          <w:rFonts w:asciiTheme="minorHAnsi" w:hAnsiTheme="minorHAnsi" w:cstheme="minorHAnsi"/>
        </w:rPr>
        <w:t>:</w:t>
      </w:r>
    </w:p>
    <w:p w14:paraId="57284BF3" w14:textId="77777777" w:rsidR="00F947EC" w:rsidRPr="007B1598" w:rsidRDefault="00F947EC" w:rsidP="007B1598">
      <w:pPr>
        <w:numPr>
          <w:ilvl w:val="0"/>
          <w:numId w:val="3"/>
        </w:numPr>
        <w:tabs>
          <w:tab w:val="left" w:pos="1080"/>
        </w:tabs>
        <w:spacing w:before="240"/>
        <w:ind w:hanging="540"/>
        <w:rPr>
          <w:rFonts w:asciiTheme="minorHAnsi" w:hAnsiTheme="minorHAnsi" w:cstheme="minorHAnsi"/>
        </w:rPr>
      </w:pPr>
      <w:r w:rsidRPr="007B1598">
        <w:rPr>
          <w:rFonts w:asciiTheme="minorHAnsi" w:hAnsiTheme="minorHAnsi" w:cstheme="minorHAnsi"/>
        </w:rPr>
        <w:t xml:space="preserve">Prepared, owned, used, or retained by the </w:t>
      </w:r>
      <w:r w:rsidR="00B2185F">
        <w:rPr>
          <w:rFonts w:asciiTheme="minorHAnsi" w:hAnsiTheme="minorHAnsi" w:cstheme="minorHAnsi"/>
        </w:rPr>
        <w:t>[AGENCY]</w:t>
      </w:r>
      <w:r w:rsidRPr="007B1598">
        <w:rPr>
          <w:rFonts w:asciiTheme="minorHAnsi" w:hAnsiTheme="minorHAnsi" w:cstheme="minorHAnsi"/>
        </w:rPr>
        <w:t xml:space="preserve">; </w:t>
      </w:r>
      <w:r w:rsidR="004710EE">
        <w:rPr>
          <w:rFonts w:asciiTheme="minorHAnsi" w:hAnsiTheme="minorHAnsi" w:cstheme="minorHAnsi"/>
        </w:rPr>
        <w:t>AND</w:t>
      </w:r>
    </w:p>
    <w:p w14:paraId="57284BF4" w14:textId="77777777" w:rsidR="00F947EC" w:rsidRPr="007B1598" w:rsidRDefault="00F947EC" w:rsidP="007B1598">
      <w:pPr>
        <w:tabs>
          <w:tab w:val="left" w:pos="1080"/>
        </w:tabs>
        <w:ind w:left="1080" w:hanging="540"/>
        <w:rPr>
          <w:rFonts w:asciiTheme="minorHAnsi" w:hAnsiTheme="minorHAnsi" w:cstheme="minorHAnsi"/>
        </w:rPr>
      </w:pPr>
      <w:r w:rsidRPr="007B1598">
        <w:rPr>
          <w:rFonts w:asciiTheme="minorHAnsi" w:hAnsiTheme="minorHAnsi" w:cstheme="minorHAnsi"/>
        </w:rPr>
        <w:t>(b)</w:t>
      </w:r>
      <w:r w:rsidRPr="00F970BD">
        <w:rPr>
          <w:rFonts w:asciiTheme="minorHAnsi" w:hAnsiTheme="minorHAnsi" w:cstheme="minorHAnsi"/>
        </w:rPr>
        <w:tab/>
      </w:r>
      <w:r w:rsidRPr="007B1598">
        <w:rPr>
          <w:rFonts w:asciiTheme="minorHAnsi" w:hAnsiTheme="minorHAnsi" w:cstheme="minorHAnsi"/>
        </w:rPr>
        <w:t>Relate</w:t>
      </w:r>
      <w:r w:rsidR="008D09C6">
        <w:rPr>
          <w:rFonts w:asciiTheme="minorHAnsi" w:hAnsiTheme="minorHAnsi" w:cstheme="minorHAnsi"/>
        </w:rPr>
        <w:t>s</w:t>
      </w:r>
      <w:r w:rsidRPr="007B1598">
        <w:rPr>
          <w:rFonts w:asciiTheme="minorHAnsi" w:hAnsiTheme="minorHAnsi" w:cstheme="minorHAnsi"/>
        </w:rPr>
        <w:t xml:space="preserve"> to an activity, transaction, or function of the </w:t>
      </w:r>
      <w:r w:rsidR="00B2185F">
        <w:rPr>
          <w:rFonts w:asciiTheme="minorHAnsi" w:hAnsiTheme="minorHAnsi" w:cstheme="minorHAnsi"/>
        </w:rPr>
        <w:t>[AGENCY]</w:t>
      </w:r>
      <w:r w:rsidRPr="007B1598">
        <w:rPr>
          <w:rFonts w:asciiTheme="minorHAnsi" w:hAnsiTheme="minorHAnsi" w:cstheme="minorHAnsi"/>
        </w:rPr>
        <w:t xml:space="preserve">; </w:t>
      </w:r>
      <w:r w:rsidR="004710EE">
        <w:rPr>
          <w:rFonts w:asciiTheme="minorHAnsi" w:hAnsiTheme="minorHAnsi" w:cstheme="minorHAnsi"/>
        </w:rPr>
        <w:t>AND</w:t>
      </w:r>
    </w:p>
    <w:p w14:paraId="57284BF5" w14:textId="77777777" w:rsidR="00F947EC" w:rsidRPr="007B1598" w:rsidRDefault="00F947EC" w:rsidP="007B1598">
      <w:pPr>
        <w:tabs>
          <w:tab w:val="left" w:pos="1080"/>
        </w:tabs>
        <w:ind w:left="1080" w:hanging="540"/>
        <w:rPr>
          <w:rFonts w:asciiTheme="minorHAnsi" w:hAnsiTheme="minorHAnsi" w:cstheme="minorHAnsi"/>
        </w:rPr>
      </w:pPr>
      <w:r w:rsidRPr="007B1598">
        <w:rPr>
          <w:rFonts w:asciiTheme="minorHAnsi" w:hAnsiTheme="minorHAnsi" w:cstheme="minorHAnsi"/>
        </w:rPr>
        <w:t>(c)</w:t>
      </w:r>
      <w:r w:rsidRPr="00F970BD">
        <w:rPr>
          <w:rFonts w:asciiTheme="minorHAnsi" w:hAnsiTheme="minorHAnsi" w:cstheme="minorHAnsi"/>
        </w:rPr>
        <w:tab/>
      </w:r>
      <w:r w:rsidR="008D09C6">
        <w:rPr>
          <w:rFonts w:asciiTheme="minorHAnsi" w:hAnsiTheme="minorHAnsi" w:cstheme="minorHAnsi"/>
        </w:rPr>
        <w:t>Is n</w:t>
      </w:r>
      <w:r w:rsidRPr="007B1598">
        <w:rPr>
          <w:rFonts w:asciiTheme="minorHAnsi" w:hAnsiTheme="minorHAnsi" w:cstheme="minorHAnsi"/>
        </w:rPr>
        <w:t xml:space="preserve">ecessary to satisfy the fiscal, legal, administrative or historical </w:t>
      </w:r>
      <w:r w:rsidR="00422FF8" w:rsidRPr="00F970BD">
        <w:rPr>
          <w:rFonts w:asciiTheme="minorHAnsi" w:hAnsiTheme="minorHAnsi" w:cstheme="minorHAnsi"/>
        </w:rPr>
        <w:t xml:space="preserve">policies, </w:t>
      </w:r>
      <w:r w:rsidRPr="007B1598">
        <w:rPr>
          <w:rFonts w:asciiTheme="minorHAnsi" w:hAnsiTheme="minorHAnsi" w:cstheme="minorHAnsi"/>
        </w:rPr>
        <w:t>requirements</w:t>
      </w:r>
      <w:r w:rsidR="00422FF8" w:rsidRPr="00F970BD">
        <w:rPr>
          <w:rFonts w:asciiTheme="minorHAnsi" w:hAnsiTheme="minorHAnsi" w:cstheme="minorHAnsi"/>
        </w:rPr>
        <w:t>, or needs</w:t>
      </w:r>
      <w:r w:rsidRPr="007B1598">
        <w:rPr>
          <w:rFonts w:asciiTheme="minorHAnsi" w:hAnsiTheme="minorHAnsi" w:cstheme="minorHAnsi"/>
        </w:rPr>
        <w:t xml:space="preserve"> of the </w:t>
      </w:r>
      <w:r w:rsidR="00B2185F">
        <w:rPr>
          <w:rFonts w:asciiTheme="minorHAnsi" w:hAnsiTheme="minorHAnsi" w:cstheme="minorHAnsi"/>
        </w:rPr>
        <w:t>[AGENCY]</w:t>
      </w:r>
      <w:r w:rsidRPr="007B1598">
        <w:rPr>
          <w:rFonts w:asciiTheme="minorHAnsi" w:hAnsiTheme="minorHAnsi" w:cstheme="minorHAnsi"/>
        </w:rPr>
        <w:t>.</w:t>
      </w:r>
    </w:p>
    <w:p w14:paraId="57284BF6" w14:textId="77777777" w:rsidR="00C20E37" w:rsidRPr="006D27F3" w:rsidRDefault="00C20E37" w:rsidP="0005640B">
      <w:pPr>
        <w:spacing w:before="240"/>
        <w:rPr>
          <w:rFonts w:asciiTheme="minorHAnsi" w:hAnsiTheme="minorHAnsi" w:cstheme="minorHAnsi"/>
        </w:rPr>
      </w:pPr>
      <w:r w:rsidRPr="006D27F3">
        <w:rPr>
          <w:rFonts w:asciiTheme="minorHAnsi" w:hAnsiTheme="minorHAnsi" w:cstheme="minorHAnsi"/>
        </w:rPr>
        <w:t>The following appl</w:t>
      </w:r>
      <w:r w:rsidR="00165B25" w:rsidRPr="006D27F3">
        <w:rPr>
          <w:rFonts w:asciiTheme="minorHAnsi" w:hAnsiTheme="minorHAnsi" w:cstheme="minorHAnsi"/>
        </w:rPr>
        <w:t>ies</w:t>
      </w:r>
      <w:r w:rsidRPr="006D27F3">
        <w:rPr>
          <w:rFonts w:asciiTheme="minorHAnsi" w:hAnsiTheme="minorHAnsi" w:cstheme="minorHAnsi"/>
        </w:rPr>
        <w:t xml:space="preserve"> to the definition of public record:</w:t>
      </w:r>
    </w:p>
    <w:p w14:paraId="57284BF7" w14:textId="77777777" w:rsidR="00C20E37" w:rsidRPr="006D27F3" w:rsidRDefault="008D09C6" w:rsidP="007B1598">
      <w:pPr>
        <w:numPr>
          <w:ilvl w:val="0"/>
          <w:numId w:val="6"/>
        </w:numPr>
        <w:tabs>
          <w:tab w:val="left" w:pos="1080"/>
        </w:tabs>
        <w:spacing w:before="240"/>
        <w:ind w:left="1080" w:hanging="540"/>
        <w:rPr>
          <w:rFonts w:asciiTheme="minorHAnsi" w:hAnsiTheme="minorHAnsi" w:cstheme="minorHAnsi"/>
        </w:rPr>
      </w:pPr>
      <w:r w:rsidRPr="006D27F3">
        <w:rPr>
          <w:rFonts w:asciiTheme="minorHAnsi" w:hAnsiTheme="minorHAnsi" w:cstheme="minorHAnsi"/>
        </w:rPr>
        <w:t>A p</w:t>
      </w:r>
      <w:r w:rsidR="00C20E37" w:rsidRPr="006D27F3">
        <w:rPr>
          <w:rFonts w:asciiTheme="minorHAnsi" w:hAnsiTheme="minorHAnsi" w:cstheme="minorHAnsi"/>
        </w:rPr>
        <w:t xml:space="preserve">ublic record may exist in any format, including in paper form or in electronic form, including </w:t>
      </w:r>
      <w:r w:rsidR="00186BE4" w:rsidRPr="006D27F3">
        <w:rPr>
          <w:rFonts w:asciiTheme="minorHAnsi" w:hAnsiTheme="minorHAnsi" w:cstheme="minorHAnsi"/>
        </w:rPr>
        <w:t>email</w:t>
      </w:r>
      <w:r w:rsidR="006D27F3">
        <w:rPr>
          <w:rFonts w:asciiTheme="minorHAnsi" w:hAnsiTheme="minorHAnsi" w:cstheme="minorHAnsi"/>
        </w:rPr>
        <w:t>.</w:t>
      </w:r>
    </w:p>
    <w:p w14:paraId="57284BF8" w14:textId="77777777" w:rsidR="00C20E37" w:rsidRPr="006D27F3" w:rsidRDefault="008D09C6" w:rsidP="007B1598">
      <w:pPr>
        <w:numPr>
          <w:ilvl w:val="0"/>
          <w:numId w:val="6"/>
        </w:numPr>
        <w:tabs>
          <w:tab w:val="left" w:pos="1080"/>
        </w:tabs>
        <w:spacing w:before="240"/>
        <w:ind w:left="1080" w:hanging="540"/>
        <w:rPr>
          <w:rFonts w:asciiTheme="minorHAnsi" w:hAnsiTheme="minorHAnsi" w:cstheme="minorHAnsi"/>
        </w:rPr>
      </w:pPr>
      <w:r w:rsidRPr="006D27F3">
        <w:rPr>
          <w:rFonts w:asciiTheme="minorHAnsi" w:hAnsiTheme="minorHAnsi" w:cstheme="minorHAnsi"/>
        </w:rPr>
        <w:t>A c</w:t>
      </w:r>
      <w:r w:rsidR="00C20E37" w:rsidRPr="006D27F3">
        <w:rPr>
          <w:rFonts w:asciiTheme="minorHAnsi" w:hAnsiTheme="minorHAnsi" w:cstheme="minorHAnsi"/>
        </w:rPr>
        <w:t>op</w:t>
      </w:r>
      <w:r w:rsidRPr="006D27F3">
        <w:rPr>
          <w:rFonts w:asciiTheme="minorHAnsi" w:hAnsiTheme="minorHAnsi" w:cstheme="minorHAnsi"/>
        </w:rPr>
        <w:t>y</w:t>
      </w:r>
      <w:r w:rsidR="00C20E37" w:rsidRPr="006D27F3">
        <w:rPr>
          <w:rFonts w:asciiTheme="minorHAnsi" w:hAnsiTheme="minorHAnsi" w:cstheme="minorHAnsi"/>
        </w:rPr>
        <w:t xml:space="preserve"> of a record, preserved only for convenience of re</w:t>
      </w:r>
      <w:r w:rsidR="006E35C2" w:rsidRPr="006D27F3">
        <w:rPr>
          <w:rFonts w:asciiTheme="minorHAnsi" w:hAnsiTheme="minorHAnsi" w:cstheme="minorHAnsi"/>
        </w:rPr>
        <w:t xml:space="preserve">ference, </w:t>
      </w:r>
      <w:r w:rsidRPr="006D27F3">
        <w:rPr>
          <w:rFonts w:asciiTheme="minorHAnsi" w:hAnsiTheme="minorHAnsi" w:cstheme="minorHAnsi"/>
        </w:rPr>
        <w:t xml:space="preserve">is </w:t>
      </w:r>
      <w:r w:rsidR="006E35C2" w:rsidRPr="006D27F3">
        <w:rPr>
          <w:rFonts w:asciiTheme="minorHAnsi" w:hAnsiTheme="minorHAnsi" w:cstheme="minorHAnsi"/>
        </w:rPr>
        <w:t xml:space="preserve">not </w:t>
      </w:r>
      <w:r w:rsidRPr="006D27F3">
        <w:rPr>
          <w:rFonts w:asciiTheme="minorHAnsi" w:hAnsiTheme="minorHAnsi" w:cstheme="minorHAnsi"/>
        </w:rPr>
        <w:t xml:space="preserve">a </w:t>
      </w:r>
      <w:r w:rsidR="004710EE" w:rsidRPr="006D27F3">
        <w:rPr>
          <w:rFonts w:asciiTheme="minorHAnsi" w:hAnsiTheme="minorHAnsi" w:cstheme="minorHAnsi"/>
        </w:rPr>
        <w:t>public record</w:t>
      </w:r>
      <w:r w:rsidR="006D27F3">
        <w:rPr>
          <w:rFonts w:asciiTheme="minorHAnsi" w:hAnsiTheme="minorHAnsi" w:cstheme="minorHAnsi"/>
        </w:rPr>
        <w:t>.</w:t>
      </w:r>
    </w:p>
    <w:p w14:paraId="57284BF9" w14:textId="77777777" w:rsidR="00C20E37" w:rsidRPr="006D27F3" w:rsidRDefault="008D09C6" w:rsidP="007B1598">
      <w:pPr>
        <w:numPr>
          <w:ilvl w:val="0"/>
          <w:numId w:val="6"/>
        </w:numPr>
        <w:tabs>
          <w:tab w:val="left" w:pos="1080"/>
        </w:tabs>
        <w:spacing w:before="240"/>
        <w:ind w:left="1080" w:hanging="540"/>
        <w:rPr>
          <w:rFonts w:asciiTheme="minorHAnsi" w:hAnsiTheme="minorHAnsi" w:cstheme="minorHAnsi"/>
        </w:rPr>
      </w:pPr>
      <w:r w:rsidRPr="006D27F3">
        <w:rPr>
          <w:rFonts w:asciiTheme="minorHAnsi" w:hAnsiTheme="minorHAnsi" w:cstheme="minorHAnsi"/>
        </w:rPr>
        <w:t>A m</w:t>
      </w:r>
      <w:r w:rsidR="00C20E37" w:rsidRPr="006D27F3">
        <w:rPr>
          <w:rFonts w:asciiTheme="minorHAnsi" w:hAnsiTheme="minorHAnsi" w:cstheme="minorHAnsi"/>
        </w:rPr>
        <w:t>essage on voicemail or on other telephone message storage and retrieval</w:t>
      </w:r>
      <w:r w:rsidR="006E35C2" w:rsidRPr="006D27F3">
        <w:rPr>
          <w:rFonts w:asciiTheme="minorHAnsi" w:hAnsiTheme="minorHAnsi" w:cstheme="minorHAnsi"/>
        </w:rPr>
        <w:t xml:space="preserve"> systems </w:t>
      </w:r>
      <w:r w:rsidRPr="006D27F3">
        <w:rPr>
          <w:rFonts w:asciiTheme="minorHAnsi" w:hAnsiTheme="minorHAnsi" w:cstheme="minorHAnsi"/>
        </w:rPr>
        <w:t xml:space="preserve">is </w:t>
      </w:r>
      <w:r w:rsidR="006E35C2" w:rsidRPr="006D27F3">
        <w:rPr>
          <w:rFonts w:asciiTheme="minorHAnsi" w:hAnsiTheme="minorHAnsi" w:cstheme="minorHAnsi"/>
        </w:rPr>
        <w:t xml:space="preserve">not </w:t>
      </w:r>
      <w:r w:rsidRPr="006D27F3">
        <w:rPr>
          <w:rFonts w:asciiTheme="minorHAnsi" w:hAnsiTheme="minorHAnsi" w:cstheme="minorHAnsi"/>
        </w:rPr>
        <w:t xml:space="preserve">a </w:t>
      </w:r>
      <w:r w:rsidR="004710EE" w:rsidRPr="006D27F3">
        <w:rPr>
          <w:rFonts w:asciiTheme="minorHAnsi" w:hAnsiTheme="minorHAnsi" w:cstheme="minorHAnsi"/>
        </w:rPr>
        <w:t>public record</w:t>
      </w:r>
      <w:r w:rsidR="006D27F3">
        <w:rPr>
          <w:rFonts w:asciiTheme="minorHAnsi" w:hAnsiTheme="minorHAnsi" w:cstheme="minorHAnsi"/>
        </w:rPr>
        <w:t>.</w:t>
      </w:r>
    </w:p>
    <w:p w14:paraId="57284BFA" w14:textId="77777777" w:rsidR="00F947EC" w:rsidRPr="006D27F3" w:rsidRDefault="00F947EC" w:rsidP="007B1598">
      <w:pPr>
        <w:numPr>
          <w:ilvl w:val="0"/>
          <w:numId w:val="6"/>
        </w:numPr>
        <w:tabs>
          <w:tab w:val="left" w:pos="1080"/>
        </w:tabs>
        <w:spacing w:before="240"/>
        <w:ind w:left="1080" w:hanging="540"/>
        <w:rPr>
          <w:rFonts w:asciiTheme="minorHAnsi" w:hAnsiTheme="minorHAnsi" w:cstheme="minorHAnsi"/>
        </w:rPr>
      </w:pPr>
      <w:r w:rsidRPr="006D27F3">
        <w:rPr>
          <w:rFonts w:asciiTheme="minorHAnsi" w:hAnsiTheme="minorHAnsi" w:cstheme="minorHAnsi"/>
        </w:rPr>
        <w:t xml:space="preserve">Public records do not include advertising material received by the </w:t>
      </w:r>
      <w:r w:rsidR="00B2185F">
        <w:rPr>
          <w:rFonts w:asciiTheme="minorHAnsi" w:hAnsiTheme="minorHAnsi" w:cstheme="minorHAnsi"/>
        </w:rPr>
        <w:t>[AGENCY]</w:t>
      </w:r>
      <w:r w:rsidRPr="006D27F3">
        <w:rPr>
          <w:rFonts w:asciiTheme="minorHAnsi" w:hAnsiTheme="minorHAnsi" w:cstheme="minorHAnsi"/>
        </w:rPr>
        <w:t xml:space="preserve">; general announcements issued by other state agencies (such as PEBB or PERS newsletters); or other recorded materials that are fleeting in nature and do not involve an activity carried out by the </w:t>
      </w:r>
      <w:r w:rsidR="00B2185F">
        <w:rPr>
          <w:rFonts w:asciiTheme="minorHAnsi" w:hAnsiTheme="minorHAnsi" w:cstheme="minorHAnsi"/>
        </w:rPr>
        <w:t>[AGENCY]</w:t>
      </w:r>
      <w:r w:rsidR="006D27F3">
        <w:rPr>
          <w:rFonts w:asciiTheme="minorHAnsi" w:hAnsiTheme="minorHAnsi" w:cstheme="minorHAnsi"/>
        </w:rPr>
        <w:t>.</w:t>
      </w:r>
    </w:p>
    <w:p w14:paraId="57284BFB" w14:textId="77777777" w:rsidR="00C20E37" w:rsidRPr="006D27F3" w:rsidRDefault="00C20E37" w:rsidP="007B1598">
      <w:pPr>
        <w:numPr>
          <w:ilvl w:val="0"/>
          <w:numId w:val="6"/>
        </w:numPr>
        <w:tabs>
          <w:tab w:val="left" w:pos="1080"/>
        </w:tabs>
        <w:spacing w:before="240"/>
        <w:ind w:left="1080" w:hanging="540"/>
        <w:rPr>
          <w:rFonts w:asciiTheme="minorHAnsi" w:hAnsiTheme="minorHAnsi" w:cstheme="minorHAnsi"/>
        </w:rPr>
      </w:pPr>
      <w:r w:rsidRPr="006D27F3">
        <w:rPr>
          <w:rFonts w:asciiTheme="minorHAnsi" w:hAnsiTheme="minorHAnsi" w:cstheme="minorHAnsi"/>
        </w:rPr>
        <w:t>Text messages and instant messages may constitute pu</w:t>
      </w:r>
      <w:r w:rsidR="004710EE" w:rsidRPr="006D27F3">
        <w:rPr>
          <w:rFonts w:asciiTheme="minorHAnsi" w:hAnsiTheme="minorHAnsi" w:cstheme="minorHAnsi"/>
        </w:rPr>
        <w:t>blic records as discussed below</w:t>
      </w:r>
      <w:r w:rsidR="006D27F3">
        <w:rPr>
          <w:rFonts w:asciiTheme="minorHAnsi" w:hAnsiTheme="minorHAnsi" w:cstheme="minorHAnsi"/>
        </w:rPr>
        <w:t>.</w:t>
      </w:r>
    </w:p>
    <w:p w14:paraId="57284BFC" w14:textId="77777777" w:rsidR="00F947EC" w:rsidRPr="007B1598" w:rsidRDefault="00F947EC" w:rsidP="0005640B">
      <w:pPr>
        <w:spacing w:before="240"/>
        <w:rPr>
          <w:rFonts w:asciiTheme="minorHAnsi" w:hAnsiTheme="minorHAnsi" w:cstheme="minorHAnsi"/>
        </w:rPr>
      </w:pPr>
      <w:r w:rsidRPr="006D27F3">
        <w:rPr>
          <w:rFonts w:asciiTheme="minorHAnsi" w:hAnsiTheme="minorHAnsi" w:cstheme="minorHAnsi"/>
          <w:b/>
        </w:rPr>
        <w:t xml:space="preserve">“Routine </w:t>
      </w:r>
      <w:r w:rsidR="00572585" w:rsidRPr="006D27F3">
        <w:rPr>
          <w:rFonts w:asciiTheme="minorHAnsi" w:hAnsiTheme="minorHAnsi" w:cstheme="minorHAnsi"/>
          <w:b/>
        </w:rPr>
        <w:t>c</w:t>
      </w:r>
      <w:r w:rsidRPr="006D27F3">
        <w:rPr>
          <w:rFonts w:asciiTheme="minorHAnsi" w:hAnsiTheme="minorHAnsi" w:cstheme="minorHAnsi"/>
          <w:b/>
        </w:rPr>
        <w:t>ommunication”</w:t>
      </w:r>
      <w:r w:rsidRPr="006D27F3">
        <w:rPr>
          <w:rFonts w:asciiTheme="minorHAnsi" w:hAnsiTheme="minorHAnsi" w:cstheme="minorHAnsi"/>
        </w:rPr>
        <w:t xml:space="preserve"> </w:t>
      </w:r>
      <w:r w:rsidR="00C20E37" w:rsidRPr="006D27F3">
        <w:rPr>
          <w:rFonts w:asciiTheme="minorHAnsi" w:hAnsiTheme="minorHAnsi" w:cstheme="minorHAnsi"/>
        </w:rPr>
        <w:t>refers to g</w:t>
      </w:r>
      <w:r w:rsidRPr="006D27F3">
        <w:rPr>
          <w:rFonts w:asciiTheme="minorHAnsi" w:hAnsiTheme="minorHAnsi" w:cstheme="minorHAnsi"/>
        </w:rPr>
        <w:t xml:space="preserve">eneric messages that do not </w:t>
      </w:r>
      <w:r w:rsidR="006E35C2" w:rsidRPr="006D27F3">
        <w:rPr>
          <w:rFonts w:asciiTheme="minorHAnsi" w:hAnsiTheme="minorHAnsi" w:cstheme="minorHAnsi"/>
        </w:rPr>
        <w:t>meet</w:t>
      </w:r>
      <w:r w:rsidRPr="006D27F3">
        <w:rPr>
          <w:rFonts w:asciiTheme="minorHAnsi" w:hAnsiTheme="minorHAnsi" w:cstheme="minorHAnsi"/>
        </w:rPr>
        <w:t xml:space="preserve"> the definition of </w:t>
      </w:r>
      <w:r w:rsidR="006E35C2" w:rsidRPr="006D27F3">
        <w:rPr>
          <w:rFonts w:asciiTheme="minorHAnsi" w:hAnsiTheme="minorHAnsi" w:cstheme="minorHAnsi"/>
        </w:rPr>
        <w:t xml:space="preserve">a </w:t>
      </w:r>
      <w:r w:rsidRPr="006D27F3">
        <w:rPr>
          <w:rFonts w:asciiTheme="minorHAnsi" w:hAnsiTheme="minorHAnsi" w:cstheme="minorHAnsi"/>
        </w:rPr>
        <w:t>public record and are not program specific.</w:t>
      </w:r>
      <w:r w:rsidR="00572585" w:rsidRPr="006D27F3">
        <w:rPr>
          <w:rFonts w:asciiTheme="minorHAnsi" w:hAnsiTheme="minorHAnsi" w:cstheme="minorHAnsi"/>
        </w:rPr>
        <w:t xml:space="preserve"> </w:t>
      </w:r>
      <w:r w:rsidRPr="006D27F3">
        <w:rPr>
          <w:rFonts w:asciiTheme="minorHAnsi" w:hAnsiTheme="minorHAnsi" w:cstheme="minorHAnsi"/>
        </w:rPr>
        <w:t>Examples include, but are not limited to: Notifications that an individual arrived at the person’s destination; the person was running late; or the person had vehicle problems.</w:t>
      </w:r>
    </w:p>
    <w:p w14:paraId="57284BFD" w14:textId="77777777" w:rsidR="00F947EC" w:rsidRPr="007B1598" w:rsidRDefault="00F947EC" w:rsidP="0005640B">
      <w:pPr>
        <w:spacing w:before="240"/>
        <w:rPr>
          <w:rFonts w:asciiTheme="minorHAnsi" w:hAnsiTheme="minorHAnsi" w:cstheme="minorHAnsi"/>
        </w:rPr>
      </w:pPr>
      <w:r w:rsidRPr="00F970BD">
        <w:rPr>
          <w:rFonts w:asciiTheme="minorHAnsi" w:hAnsiTheme="minorHAnsi" w:cstheme="minorHAnsi"/>
          <w:b/>
        </w:rPr>
        <w:t xml:space="preserve">“Social </w:t>
      </w:r>
      <w:r w:rsidR="00572585" w:rsidRPr="00F970BD">
        <w:rPr>
          <w:rFonts w:asciiTheme="minorHAnsi" w:hAnsiTheme="minorHAnsi" w:cstheme="minorHAnsi"/>
          <w:b/>
        </w:rPr>
        <w:t>m</w:t>
      </w:r>
      <w:r w:rsidRPr="00F970BD">
        <w:rPr>
          <w:rFonts w:asciiTheme="minorHAnsi" w:hAnsiTheme="minorHAnsi" w:cstheme="minorHAnsi"/>
          <w:b/>
        </w:rPr>
        <w:t>edia”</w:t>
      </w:r>
      <w:r w:rsidRPr="007B1598">
        <w:rPr>
          <w:rFonts w:asciiTheme="minorHAnsi" w:hAnsiTheme="minorHAnsi" w:cstheme="minorHAnsi"/>
        </w:rPr>
        <w:t xml:space="preserve"> </w:t>
      </w:r>
      <w:r w:rsidR="00C20E37" w:rsidRPr="00F970BD">
        <w:rPr>
          <w:rFonts w:asciiTheme="minorHAnsi" w:hAnsiTheme="minorHAnsi" w:cstheme="minorHAnsi"/>
        </w:rPr>
        <w:t xml:space="preserve">refers to </w:t>
      </w:r>
      <w:r w:rsidRPr="007B1598">
        <w:rPr>
          <w:rFonts w:asciiTheme="minorHAnsi" w:hAnsiTheme="minorHAnsi" w:cstheme="minorHAnsi"/>
        </w:rPr>
        <w:t>web-based and mobile</w:t>
      </w:r>
      <w:r w:rsidR="00C20E37" w:rsidRPr="00F970BD">
        <w:rPr>
          <w:rFonts w:asciiTheme="minorHAnsi" w:hAnsiTheme="minorHAnsi" w:cstheme="minorHAnsi"/>
        </w:rPr>
        <w:t xml:space="preserve"> communication</w:t>
      </w:r>
      <w:r w:rsidRPr="007B1598">
        <w:rPr>
          <w:rFonts w:asciiTheme="minorHAnsi" w:hAnsiTheme="minorHAnsi" w:cstheme="minorHAnsi"/>
        </w:rPr>
        <w:t xml:space="preserve"> technologies that allow the creation and exchange of user-generated content </w:t>
      </w:r>
      <w:r w:rsidR="00C20E37" w:rsidRPr="00F970BD">
        <w:rPr>
          <w:rFonts w:asciiTheme="minorHAnsi" w:hAnsiTheme="minorHAnsi" w:cstheme="minorHAnsi"/>
        </w:rPr>
        <w:t>such as comments or responsive postings. Examples of social media as of the time that this policy is adopted include</w:t>
      </w:r>
      <w:r w:rsidR="006E35C2" w:rsidRPr="007B1598">
        <w:rPr>
          <w:rFonts w:asciiTheme="minorHAnsi" w:hAnsiTheme="minorHAnsi" w:cstheme="minorHAnsi"/>
        </w:rPr>
        <w:t>,</w:t>
      </w:r>
      <w:r w:rsidR="00C20E37" w:rsidRPr="00F970BD">
        <w:rPr>
          <w:rFonts w:asciiTheme="minorHAnsi" w:hAnsiTheme="minorHAnsi" w:cstheme="minorHAnsi"/>
        </w:rPr>
        <w:t xml:space="preserve"> but are not limited to: </w:t>
      </w:r>
      <w:r w:rsidRPr="007B1598">
        <w:rPr>
          <w:rFonts w:asciiTheme="minorHAnsi" w:hAnsiTheme="minorHAnsi" w:cstheme="minorHAnsi"/>
        </w:rPr>
        <w:t>Twitter, Flickr, blogging</w:t>
      </w:r>
      <w:r w:rsidR="00DD0C68" w:rsidRPr="00F970BD">
        <w:rPr>
          <w:rFonts w:asciiTheme="minorHAnsi" w:hAnsiTheme="minorHAnsi" w:cstheme="minorHAnsi"/>
        </w:rPr>
        <w:t xml:space="preserve"> sites</w:t>
      </w:r>
      <w:r w:rsidRPr="007B1598">
        <w:rPr>
          <w:rFonts w:asciiTheme="minorHAnsi" w:hAnsiTheme="minorHAnsi" w:cstheme="minorHAnsi"/>
        </w:rPr>
        <w:t>, Facebook, YouTube</w:t>
      </w:r>
      <w:r w:rsidR="00DD0C68" w:rsidRPr="00F970BD">
        <w:rPr>
          <w:rFonts w:asciiTheme="minorHAnsi" w:hAnsiTheme="minorHAnsi" w:cstheme="minorHAnsi"/>
        </w:rPr>
        <w:t xml:space="preserve">, </w:t>
      </w:r>
      <w:r w:rsidR="006E35C2" w:rsidRPr="00F970BD">
        <w:rPr>
          <w:rFonts w:asciiTheme="minorHAnsi" w:hAnsiTheme="minorHAnsi" w:cstheme="minorHAnsi"/>
        </w:rPr>
        <w:t>and</w:t>
      </w:r>
      <w:r w:rsidR="00DD0C68" w:rsidRPr="00F970BD">
        <w:rPr>
          <w:rFonts w:asciiTheme="minorHAnsi" w:hAnsiTheme="minorHAnsi" w:cstheme="minorHAnsi"/>
        </w:rPr>
        <w:t xml:space="preserve"> Instagram</w:t>
      </w:r>
      <w:r w:rsidRPr="007B1598">
        <w:rPr>
          <w:rFonts w:asciiTheme="minorHAnsi" w:hAnsiTheme="minorHAnsi" w:cstheme="minorHAnsi"/>
        </w:rPr>
        <w:t>.</w:t>
      </w:r>
    </w:p>
    <w:p w14:paraId="57284BFE" w14:textId="77777777" w:rsidR="00F947EC" w:rsidRPr="00F970BD" w:rsidRDefault="00F947EC" w:rsidP="0005640B">
      <w:pPr>
        <w:spacing w:before="240"/>
        <w:rPr>
          <w:rFonts w:asciiTheme="minorHAnsi" w:hAnsiTheme="minorHAnsi" w:cstheme="minorHAnsi"/>
        </w:rPr>
      </w:pPr>
      <w:r w:rsidRPr="00F970BD">
        <w:rPr>
          <w:rFonts w:asciiTheme="minorHAnsi" w:hAnsiTheme="minorHAnsi" w:cstheme="minorHAnsi"/>
          <w:b/>
        </w:rPr>
        <w:t>“</w:t>
      </w:r>
      <w:r w:rsidR="00DD0C68" w:rsidRPr="00F970BD">
        <w:rPr>
          <w:rFonts w:asciiTheme="minorHAnsi" w:hAnsiTheme="minorHAnsi" w:cstheme="minorHAnsi"/>
          <w:b/>
        </w:rPr>
        <w:t>Text messages”</w:t>
      </w:r>
      <w:r w:rsidR="00DD0C68" w:rsidRPr="007B1598">
        <w:rPr>
          <w:rFonts w:asciiTheme="minorHAnsi" w:hAnsiTheme="minorHAnsi" w:cstheme="minorHAnsi"/>
        </w:rPr>
        <w:t xml:space="preserve">, </w:t>
      </w:r>
      <w:r w:rsidR="00DD0C68" w:rsidRPr="00F970BD">
        <w:rPr>
          <w:rFonts w:asciiTheme="minorHAnsi" w:hAnsiTheme="minorHAnsi" w:cstheme="minorHAnsi"/>
          <w:b/>
        </w:rPr>
        <w:t>“t</w:t>
      </w:r>
      <w:r w:rsidRPr="00F970BD">
        <w:rPr>
          <w:rFonts w:asciiTheme="minorHAnsi" w:hAnsiTheme="minorHAnsi" w:cstheme="minorHAnsi"/>
          <w:b/>
        </w:rPr>
        <w:t xml:space="preserve">ext </w:t>
      </w:r>
      <w:r w:rsidR="00572585" w:rsidRPr="00F970BD">
        <w:rPr>
          <w:rFonts w:asciiTheme="minorHAnsi" w:hAnsiTheme="minorHAnsi" w:cstheme="minorHAnsi"/>
          <w:b/>
        </w:rPr>
        <w:t>m</w:t>
      </w:r>
      <w:r w:rsidRPr="00F970BD">
        <w:rPr>
          <w:rFonts w:asciiTheme="minorHAnsi" w:hAnsiTheme="minorHAnsi" w:cstheme="minorHAnsi"/>
          <w:b/>
        </w:rPr>
        <w:t>essaging”</w:t>
      </w:r>
      <w:r w:rsidRPr="007B1598">
        <w:rPr>
          <w:rFonts w:asciiTheme="minorHAnsi" w:hAnsiTheme="minorHAnsi" w:cstheme="minorHAnsi"/>
        </w:rPr>
        <w:t xml:space="preserve"> or </w:t>
      </w:r>
      <w:r w:rsidRPr="00F970BD">
        <w:rPr>
          <w:rFonts w:asciiTheme="minorHAnsi" w:hAnsiTheme="minorHAnsi" w:cstheme="minorHAnsi"/>
          <w:b/>
        </w:rPr>
        <w:t>“</w:t>
      </w:r>
      <w:r w:rsidR="00572585" w:rsidRPr="00F970BD">
        <w:rPr>
          <w:rFonts w:asciiTheme="minorHAnsi" w:hAnsiTheme="minorHAnsi" w:cstheme="minorHAnsi"/>
          <w:b/>
        </w:rPr>
        <w:t>t</w:t>
      </w:r>
      <w:r w:rsidRPr="00F970BD">
        <w:rPr>
          <w:rFonts w:asciiTheme="minorHAnsi" w:hAnsiTheme="minorHAnsi" w:cstheme="minorHAnsi"/>
          <w:b/>
        </w:rPr>
        <w:t>exting”</w:t>
      </w:r>
      <w:r w:rsidRPr="007B1598">
        <w:rPr>
          <w:rFonts w:asciiTheme="minorHAnsi" w:hAnsiTheme="minorHAnsi" w:cstheme="minorHAnsi"/>
        </w:rPr>
        <w:t xml:space="preserve"> </w:t>
      </w:r>
      <w:r w:rsidR="00DD0C68" w:rsidRPr="00F970BD">
        <w:rPr>
          <w:rFonts w:asciiTheme="minorHAnsi" w:hAnsiTheme="minorHAnsi" w:cstheme="minorHAnsi"/>
        </w:rPr>
        <w:t xml:space="preserve">refers to </w:t>
      </w:r>
      <w:r w:rsidRPr="007B1598">
        <w:rPr>
          <w:rFonts w:asciiTheme="minorHAnsi" w:hAnsiTheme="minorHAnsi" w:cstheme="minorHAnsi"/>
        </w:rPr>
        <w:t xml:space="preserve">messages </w:t>
      </w:r>
      <w:r w:rsidR="00DD0C68" w:rsidRPr="00F970BD">
        <w:rPr>
          <w:rFonts w:asciiTheme="minorHAnsi" w:hAnsiTheme="minorHAnsi" w:cstheme="minorHAnsi"/>
        </w:rPr>
        <w:t xml:space="preserve">exchanged </w:t>
      </w:r>
      <w:r w:rsidRPr="007B1598">
        <w:rPr>
          <w:rFonts w:asciiTheme="minorHAnsi" w:hAnsiTheme="minorHAnsi" w:cstheme="minorHAnsi"/>
        </w:rPr>
        <w:t xml:space="preserve">between fixed-line or mobile </w:t>
      </w:r>
      <w:r w:rsidR="00FA059D" w:rsidRPr="00F970BD">
        <w:rPr>
          <w:rFonts w:asciiTheme="minorHAnsi" w:hAnsiTheme="minorHAnsi" w:cstheme="minorHAnsi"/>
        </w:rPr>
        <w:t>tele</w:t>
      </w:r>
      <w:r w:rsidRPr="007B1598">
        <w:rPr>
          <w:rFonts w:asciiTheme="minorHAnsi" w:hAnsiTheme="minorHAnsi" w:cstheme="minorHAnsi"/>
        </w:rPr>
        <w:t>phone</w:t>
      </w:r>
      <w:r w:rsidR="00354F0C" w:rsidRPr="00F970BD">
        <w:rPr>
          <w:rFonts w:asciiTheme="minorHAnsi" w:hAnsiTheme="minorHAnsi" w:cstheme="minorHAnsi"/>
        </w:rPr>
        <w:t>s</w:t>
      </w:r>
      <w:r w:rsidRPr="007B1598">
        <w:rPr>
          <w:rFonts w:asciiTheme="minorHAnsi" w:hAnsiTheme="minorHAnsi" w:cstheme="minorHAnsi"/>
        </w:rPr>
        <w:t xml:space="preserve"> and fixed or portable devices over a network.</w:t>
      </w:r>
      <w:r w:rsidR="00DD0C68" w:rsidRPr="00F970BD">
        <w:rPr>
          <w:rFonts w:asciiTheme="minorHAnsi" w:hAnsiTheme="minorHAnsi" w:cstheme="minorHAnsi"/>
        </w:rPr>
        <w:t xml:space="preserve"> Excluded from this definition are </w:t>
      </w:r>
      <w:r w:rsidR="00186BE4" w:rsidRPr="00F970BD">
        <w:rPr>
          <w:rFonts w:asciiTheme="minorHAnsi" w:hAnsiTheme="minorHAnsi" w:cstheme="minorHAnsi"/>
        </w:rPr>
        <w:t>email</w:t>
      </w:r>
      <w:r w:rsidR="00DD0C68" w:rsidRPr="00F970BD">
        <w:rPr>
          <w:rFonts w:asciiTheme="minorHAnsi" w:hAnsiTheme="minorHAnsi" w:cstheme="minorHAnsi"/>
        </w:rPr>
        <w:t xml:space="preserve"> communications, whether such messages are exchanged among or between official </w:t>
      </w:r>
      <w:r w:rsidR="00BA5E0E" w:rsidRPr="00F970BD">
        <w:rPr>
          <w:rFonts w:asciiTheme="minorHAnsi" w:hAnsiTheme="minorHAnsi" w:cstheme="minorHAnsi"/>
        </w:rPr>
        <w:t>S</w:t>
      </w:r>
      <w:r w:rsidR="00DD0C68" w:rsidRPr="00F970BD">
        <w:rPr>
          <w:rFonts w:asciiTheme="minorHAnsi" w:hAnsiTheme="minorHAnsi" w:cstheme="minorHAnsi"/>
        </w:rPr>
        <w:t xml:space="preserve">tate of Oregon </w:t>
      </w:r>
      <w:r w:rsidR="00186BE4" w:rsidRPr="00F970BD">
        <w:rPr>
          <w:rFonts w:asciiTheme="minorHAnsi" w:hAnsiTheme="minorHAnsi" w:cstheme="minorHAnsi"/>
        </w:rPr>
        <w:t>email</w:t>
      </w:r>
      <w:r w:rsidR="00DD0C68" w:rsidRPr="00F970BD">
        <w:rPr>
          <w:rFonts w:asciiTheme="minorHAnsi" w:hAnsiTheme="minorHAnsi" w:cstheme="minorHAnsi"/>
        </w:rPr>
        <w:t xml:space="preserve"> accounts or </w:t>
      </w:r>
      <w:r w:rsidR="00186BE4" w:rsidRPr="00F970BD">
        <w:rPr>
          <w:rFonts w:asciiTheme="minorHAnsi" w:hAnsiTheme="minorHAnsi" w:cstheme="minorHAnsi"/>
        </w:rPr>
        <w:t>email</w:t>
      </w:r>
      <w:r w:rsidR="00DD0C68" w:rsidRPr="00F970BD">
        <w:rPr>
          <w:rFonts w:asciiTheme="minorHAnsi" w:hAnsiTheme="minorHAnsi" w:cstheme="minorHAnsi"/>
        </w:rPr>
        <w:t xml:space="preserve"> accounts maintained by private entities.</w:t>
      </w:r>
    </w:p>
    <w:p w14:paraId="57284BFF" w14:textId="77777777" w:rsidR="00BA5E0E" w:rsidRPr="007B1598" w:rsidRDefault="00BA5E0E" w:rsidP="0005640B">
      <w:pPr>
        <w:spacing w:before="240"/>
        <w:rPr>
          <w:rFonts w:asciiTheme="minorHAnsi" w:hAnsiTheme="minorHAnsi" w:cstheme="minorHAnsi"/>
        </w:rPr>
      </w:pPr>
      <w:r w:rsidRPr="007B1598">
        <w:rPr>
          <w:rFonts w:asciiTheme="minorHAnsi" w:hAnsiTheme="minorHAnsi" w:cstheme="minorHAnsi"/>
          <w:b/>
        </w:rPr>
        <w:t>“Unified communications”</w:t>
      </w:r>
      <w:r w:rsidRPr="00F970BD">
        <w:rPr>
          <w:rFonts w:asciiTheme="minorHAnsi" w:hAnsiTheme="minorHAnsi" w:cstheme="minorHAnsi"/>
        </w:rPr>
        <w:t xml:space="preserve"> refers to the packaged services or user profiles available to agencies </w:t>
      </w:r>
      <w:r w:rsidR="00A340BC">
        <w:rPr>
          <w:rFonts w:asciiTheme="minorHAnsi" w:hAnsiTheme="minorHAnsi" w:cstheme="minorHAnsi"/>
        </w:rPr>
        <w:t xml:space="preserve">such as </w:t>
      </w:r>
      <w:r w:rsidRPr="00F970BD">
        <w:rPr>
          <w:rFonts w:asciiTheme="minorHAnsi" w:hAnsiTheme="minorHAnsi" w:cstheme="minorHAnsi"/>
        </w:rPr>
        <w:t>instant messaging, video conferencing, telephony, call management, and call control across multiple systems, etc.</w:t>
      </w:r>
    </w:p>
    <w:p w14:paraId="57284C00" w14:textId="77777777" w:rsidR="00F947EC" w:rsidRPr="00F970BD" w:rsidRDefault="00F947EC" w:rsidP="0005640B">
      <w:pPr>
        <w:pStyle w:val="BodyText"/>
        <w:jc w:val="left"/>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C01" w14:textId="77777777" w:rsidR="00BA5E0E" w:rsidRPr="00F970BD" w:rsidRDefault="00B12A34" w:rsidP="0005640B">
      <w:pPr>
        <w:spacing w:before="240"/>
        <w:rPr>
          <w:rFonts w:asciiTheme="minorHAnsi" w:hAnsiTheme="minorHAnsi" w:cstheme="minorHAnsi"/>
          <w:b/>
        </w:rPr>
      </w:pPr>
      <w:r w:rsidRPr="00F970BD">
        <w:rPr>
          <w:rFonts w:asciiTheme="minorHAnsi" w:hAnsiTheme="minorHAnsi" w:cstheme="minorHAnsi"/>
          <w:b/>
        </w:rPr>
        <w:t>P</w:t>
      </w:r>
      <w:r w:rsidR="00354F0C" w:rsidRPr="00F970BD">
        <w:rPr>
          <w:rFonts w:asciiTheme="minorHAnsi" w:hAnsiTheme="minorHAnsi" w:cstheme="minorHAnsi"/>
          <w:b/>
        </w:rPr>
        <w:t>olicy</w:t>
      </w:r>
      <w:r w:rsidR="00BA5E0E" w:rsidRPr="00F970BD">
        <w:rPr>
          <w:rFonts w:asciiTheme="minorHAnsi" w:hAnsiTheme="minorHAnsi" w:cstheme="minorHAnsi"/>
          <w:b/>
        </w:rPr>
        <w:t xml:space="preserve"> </w:t>
      </w:r>
      <w:r w:rsidR="00BD315F" w:rsidRPr="00F970BD">
        <w:rPr>
          <w:rFonts w:asciiTheme="minorHAnsi" w:hAnsiTheme="minorHAnsi" w:cstheme="minorHAnsi"/>
          <w:b/>
        </w:rPr>
        <w:t>g</w:t>
      </w:r>
      <w:r w:rsidR="00BA5E0E" w:rsidRPr="00F970BD">
        <w:rPr>
          <w:rFonts w:asciiTheme="minorHAnsi" w:hAnsiTheme="minorHAnsi" w:cstheme="minorHAnsi"/>
          <w:b/>
        </w:rPr>
        <w:t>uidelines</w:t>
      </w:r>
      <w:r w:rsidRPr="00F970BD">
        <w:rPr>
          <w:rFonts w:asciiTheme="minorHAnsi" w:hAnsiTheme="minorHAnsi" w:cstheme="minorHAnsi"/>
          <w:b/>
        </w:rPr>
        <w:t>:</w:t>
      </w:r>
    </w:p>
    <w:p w14:paraId="57284C02" w14:textId="77777777" w:rsidR="00BA5E0E" w:rsidRPr="00F970BD" w:rsidRDefault="00BA5E0E" w:rsidP="0005640B">
      <w:pPr>
        <w:spacing w:before="240"/>
        <w:rPr>
          <w:rFonts w:asciiTheme="minorHAnsi" w:hAnsiTheme="minorHAnsi" w:cstheme="minorHAnsi"/>
        </w:rPr>
      </w:pPr>
      <w:r w:rsidRPr="006F1E8C">
        <w:rPr>
          <w:rFonts w:asciiTheme="minorHAnsi" w:hAnsiTheme="minorHAnsi" w:cstheme="minorHAnsi"/>
        </w:rPr>
        <w:t xml:space="preserve">1. </w:t>
      </w:r>
      <w:r w:rsidRPr="00F970BD">
        <w:rPr>
          <w:rFonts w:asciiTheme="minorHAnsi" w:hAnsiTheme="minorHAnsi" w:cstheme="minorHAnsi"/>
          <w:b/>
        </w:rPr>
        <w:t>Public records maintenance:</w:t>
      </w:r>
      <w:r w:rsidR="00B12A34" w:rsidRPr="00F970BD">
        <w:rPr>
          <w:rFonts w:asciiTheme="minorHAnsi" w:hAnsiTheme="minorHAnsi" w:cstheme="minorHAnsi"/>
        </w:rPr>
        <w:t xml:space="preserve"> </w:t>
      </w:r>
      <w:r w:rsidR="00CA5840" w:rsidRPr="00F970BD">
        <w:rPr>
          <w:rFonts w:asciiTheme="minorHAnsi" w:hAnsiTheme="minorHAnsi" w:cstheme="minorHAnsi"/>
        </w:rPr>
        <w:t xml:space="preserve">The </w:t>
      </w:r>
      <w:r w:rsidR="00EA232A" w:rsidRPr="00F970BD">
        <w:rPr>
          <w:rFonts w:asciiTheme="minorHAnsi" w:hAnsiTheme="minorHAnsi" w:cstheme="minorHAnsi"/>
        </w:rPr>
        <w:t xml:space="preserve">Oregon State </w:t>
      </w:r>
      <w:r w:rsidR="00B2185F">
        <w:rPr>
          <w:rFonts w:asciiTheme="minorHAnsi" w:hAnsiTheme="minorHAnsi" w:cstheme="minorHAnsi"/>
        </w:rPr>
        <w:t>[AGENCY]</w:t>
      </w:r>
      <w:r w:rsidR="00EA232A" w:rsidRPr="00F970BD">
        <w:rPr>
          <w:rFonts w:asciiTheme="minorHAnsi" w:hAnsiTheme="minorHAnsi" w:cstheme="minorHAnsi"/>
        </w:rPr>
        <w:t xml:space="preserve"> shall </w:t>
      </w:r>
      <w:r w:rsidRPr="00F970BD">
        <w:rPr>
          <w:rFonts w:asciiTheme="minorHAnsi" w:hAnsiTheme="minorHAnsi" w:cstheme="minorHAnsi"/>
        </w:rPr>
        <w:t xml:space="preserve">maintain and manage its public records in a manner that protects the integrity of the records within the </w:t>
      </w:r>
      <w:r w:rsidR="00B2185F">
        <w:rPr>
          <w:rFonts w:asciiTheme="minorHAnsi" w:hAnsiTheme="minorHAnsi" w:cstheme="minorHAnsi"/>
        </w:rPr>
        <w:t>[AGENCY]</w:t>
      </w:r>
      <w:r w:rsidRPr="00F970BD">
        <w:rPr>
          <w:rFonts w:asciiTheme="minorHAnsi" w:hAnsiTheme="minorHAnsi" w:cstheme="minorHAnsi"/>
        </w:rPr>
        <w:t xml:space="preserve"> without regard to the technology or medium used to create or communicate the records, from the time of creation of a public record to the time of final disposition of the public record as determined under </w:t>
      </w:r>
      <w:r w:rsidR="00405A0C">
        <w:rPr>
          <w:rFonts w:asciiTheme="minorHAnsi" w:hAnsiTheme="minorHAnsi" w:cstheme="minorHAnsi"/>
        </w:rPr>
        <w:t xml:space="preserve">the </w:t>
      </w:r>
      <w:r w:rsidR="00B2185F">
        <w:rPr>
          <w:rFonts w:asciiTheme="minorHAnsi" w:hAnsiTheme="minorHAnsi" w:cstheme="minorHAnsi"/>
        </w:rPr>
        <w:t>[AGENCY]</w:t>
      </w:r>
      <w:r w:rsidR="00405A0C">
        <w:rPr>
          <w:rFonts w:asciiTheme="minorHAnsi" w:hAnsiTheme="minorHAnsi" w:cstheme="minorHAnsi"/>
        </w:rPr>
        <w:t xml:space="preserve">’s </w:t>
      </w:r>
      <w:r w:rsidRPr="00F970BD">
        <w:rPr>
          <w:rFonts w:asciiTheme="minorHAnsi" w:hAnsiTheme="minorHAnsi" w:cstheme="minorHAnsi"/>
        </w:rPr>
        <w:t>records retention schedule</w:t>
      </w:r>
      <w:r w:rsidR="00405A0C">
        <w:rPr>
          <w:rFonts w:asciiTheme="minorHAnsi" w:hAnsiTheme="minorHAnsi" w:cstheme="minorHAnsi"/>
        </w:rPr>
        <w:t>s</w:t>
      </w:r>
      <w:r w:rsidRPr="00F970BD">
        <w:rPr>
          <w:rFonts w:asciiTheme="minorHAnsi" w:hAnsiTheme="minorHAnsi" w:cstheme="minorHAnsi"/>
        </w:rPr>
        <w:t>.</w:t>
      </w:r>
    </w:p>
    <w:p w14:paraId="57284C03" w14:textId="77777777" w:rsidR="00C158C4" w:rsidRPr="00F970BD" w:rsidRDefault="00C158C4" w:rsidP="0005640B">
      <w:pPr>
        <w:spacing w:before="240"/>
        <w:rPr>
          <w:rFonts w:asciiTheme="minorHAnsi" w:hAnsiTheme="minorHAnsi" w:cstheme="minorHAnsi"/>
        </w:rPr>
      </w:pPr>
      <w:r w:rsidRPr="006F1E8C">
        <w:rPr>
          <w:rFonts w:asciiTheme="minorHAnsi" w:hAnsiTheme="minorHAnsi" w:cstheme="minorHAnsi"/>
        </w:rPr>
        <w:t xml:space="preserve">2. </w:t>
      </w:r>
      <w:r w:rsidRPr="007B1598">
        <w:rPr>
          <w:rFonts w:asciiTheme="minorHAnsi" w:hAnsiTheme="minorHAnsi" w:cstheme="minorHAnsi"/>
          <w:b/>
        </w:rPr>
        <w:t>Roles and responsibilities:</w:t>
      </w:r>
      <w:r w:rsidRPr="00F970BD">
        <w:rPr>
          <w:rFonts w:asciiTheme="minorHAnsi" w:hAnsiTheme="minorHAnsi" w:cstheme="minorHAnsi"/>
        </w:rPr>
        <w:t xml:space="preserve"> </w:t>
      </w:r>
      <w:r w:rsidR="00405A0C" w:rsidRPr="00405A0C">
        <w:rPr>
          <w:rFonts w:ascii="Calibri" w:hAnsi="Calibri" w:cs="Calibri"/>
        </w:rPr>
        <w:t>ORS 192.105 (2)(a)</w:t>
      </w:r>
      <w:r w:rsidR="00405A0C">
        <w:rPr>
          <w:rFonts w:ascii="Calibri" w:hAnsi="Calibri" w:cs="Calibri"/>
        </w:rPr>
        <w:t xml:space="preserve"> </w:t>
      </w:r>
      <w:r w:rsidRPr="00F970BD">
        <w:rPr>
          <w:rFonts w:asciiTheme="minorHAnsi" w:hAnsiTheme="minorHAnsi" w:cstheme="minorHAnsi"/>
        </w:rPr>
        <w:t xml:space="preserve">requires the </w:t>
      </w:r>
      <w:r w:rsidR="00B2185F">
        <w:rPr>
          <w:rFonts w:asciiTheme="minorHAnsi" w:hAnsiTheme="minorHAnsi" w:cstheme="minorHAnsi"/>
        </w:rPr>
        <w:t>[AGENCY]</w:t>
      </w:r>
      <w:r w:rsidRPr="00F970BD">
        <w:rPr>
          <w:rFonts w:asciiTheme="minorHAnsi" w:hAnsiTheme="minorHAnsi" w:cstheme="minorHAnsi"/>
        </w:rPr>
        <w:t xml:space="preserve"> to designate an agency records officer to coordinate its records management program. The </w:t>
      </w:r>
      <w:r w:rsidR="00B2185F">
        <w:rPr>
          <w:rFonts w:asciiTheme="minorHAnsi" w:hAnsiTheme="minorHAnsi" w:cstheme="minorHAnsi"/>
        </w:rPr>
        <w:t>[AGENCY]</w:t>
      </w:r>
      <w:r w:rsidRPr="00F970BD">
        <w:rPr>
          <w:rFonts w:asciiTheme="minorHAnsi" w:hAnsiTheme="minorHAnsi" w:cstheme="minorHAnsi"/>
        </w:rPr>
        <w:t xml:space="preserve">’s records officer </w:t>
      </w:r>
      <w:r w:rsidR="00405A0C">
        <w:rPr>
          <w:rFonts w:asciiTheme="minorHAnsi" w:hAnsiTheme="minorHAnsi" w:cstheme="minorHAnsi"/>
        </w:rPr>
        <w:t xml:space="preserve">will </w:t>
      </w:r>
      <w:r w:rsidRPr="00F970BD">
        <w:rPr>
          <w:rFonts w:asciiTheme="minorHAnsi" w:hAnsiTheme="minorHAnsi" w:cstheme="minorHAnsi"/>
        </w:rPr>
        <w:t xml:space="preserve">serve as the primary liaison with the </w:t>
      </w:r>
      <w:r w:rsidR="00165B25">
        <w:rPr>
          <w:rFonts w:asciiTheme="minorHAnsi" w:hAnsiTheme="minorHAnsi" w:cstheme="minorHAnsi"/>
        </w:rPr>
        <w:t>s</w:t>
      </w:r>
      <w:r w:rsidRPr="00F970BD">
        <w:rPr>
          <w:rFonts w:asciiTheme="minorHAnsi" w:hAnsiTheme="minorHAnsi" w:cstheme="minorHAnsi"/>
        </w:rPr>
        <w:t xml:space="preserve">tate </w:t>
      </w:r>
      <w:r w:rsidR="00165B25">
        <w:rPr>
          <w:rFonts w:asciiTheme="minorHAnsi" w:hAnsiTheme="minorHAnsi" w:cstheme="minorHAnsi"/>
        </w:rPr>
        <w:t>a</w:t>
      </w:r>
      <w:r w:rsidRPr="00F970BD">
        <w:rPr>
          <w:rFonts w:asciiTheme="minorHAnsi" w:hAnsiTheme="minorHAnsi" w:cstheme="minorHAnsi"/>
        </w:rPr>
        <w:t xml:space="preserve">rchivist and </w:t>
      </w:r>
      <w:r w:rsidR="00405A0C">
        <w:rPr>
          <w:rFonts w:asciiTheme="minorHAnsi" w:hAnsiTheme="minorHAnsi" w:cstheme="minorHAnsi"/>
        </w:rPr>
        <w:t xml:space="preserve">will </w:t>
      </w:r>
      <w:r w:rsidRPr="00F970BD">
        <w:rPr>
          <w:rFonts w:asciiTheme="minorHAnsi" w:hAnsiTheme="minorHAnsi" w:cstheme="minorHAnsi"/>
        </w:rPr>
        <w:t xml:space="preserve">receive training from the </w:t>
      </w:r>
      <w:r w:rsidR="00165B25">
        <w:rPr>
          <w:rFonts w:asciiTheme="minorHAnsi" w:hAnsiTheme="minorHAnsi" w:cstheme="minorHAnsi"/>
        </w:rPr>
        <w:t>s</w:t>
      </w:r>
      <w:r w:rsidRPr="00F970BD">
        <w:rPr>
          <w:rFonts w:asciiTheme="minorHAnsi" w:hAnsiTheme="minorHAnsi" w:cstheme="minorHAnsi"/>
        </w:rPr>
        <w:t xml:space="preserve">tate </w:t>
      </w:r>
      <w:r w:rsidR="00165B25">
        <w:rPr>
          <w:rFonts w:asciiTheme="minorHAnsi" w:hAnsiTheme="minorHAnsi" w:cstheme="minorHAnsi"/>
        </w:rPr>
        <w:t>a</w:t>
      </w:r>
      <w:r w:rsidRPr="00F970BD">
        <w:rPr>
          <w:rFonts w:asciiTheme="minorHAnsi" w:hAnsiTheme="minorHAnsi" w:cstheme="minorHAnsi"/>
        </w:rPr>
        <w:t xml:space="preserve">rchivist </w:t>
      </w:r>
      <w:r w:rsidR="00405A0C">
        <w:rPr>
          <w:rFonts w:asciiTheme="minorHAnsi" w:hAnsiTheme="minorHAnsi" w:cstheme="minorHAnsi"/>
        </w:rPr>
        <w:t>to</w:t>
      </w:r>
      <w:r w:rsidRPr="00F970BD">
        <w:rPr>
          <w:rFonts w:asciiTheme="minorHAnsi" w:hAnsiTheme="minorHAnsi" w:cstheme="minorHAnsi"/>
        </w:rPr>
        <w:t xml:space="preserve"> perform the duties of the records officer position.</w:t>
      </w:r>
    </w:p>
    <w:p w14:paraId="57284C04" w14:textId="77777777" w:rsidR="00C158C4" w:rsidRPr="00F970BD" w:rsidRDefault="00C158C4" w:rsidP="0005640B">
      <w:pPr>
        <w:spacing w:before="240"/>
        <w:rPr>
          <w:rFonts w:asciiTheme="minorHAnsi" w:hAnsiTheme="minorHAnsi" w:cstheme="minorHAnsi"/>
        </w:rPr>
      </w:pPr>
      <w:r w:rsidRPr="00F970BD">
        <w:rPr>
          <w:rFonts w:asciiTheme="minorHAnsi" w:hAnsiTheme="minorHAnsi" w:cstheme="minorHAnsi"/>
        </w:rPr>
        <w:t xml:space="preserve">The </w:t>
      </w:r>
      <w:r w:rsidR="00B2185F">
        <w:rPr>
          <w:rFonts w:asciiTheme="minorHAnsi" w:hAnsiTheme="minorHAnsi" w:cstheme="minorHAnsi"/>
        </w:rPr>
        <w:t>[AGENCY]</w:t>
      </w:r>
      <w:r w:rsidRPr="00F970BD">
        <w:rPr>
          <w:rFonts w:asciiTheme="minorHAnsi" w:hAnsiTheme="minorHAnsi" w:cstheme="minorHAnsi"/>
        </w:rPr>
        <w:t xml:space="preserve"> will ensure that its public records are managed in accordance with its records retention schedule</w:t>
      </w:r>
      <w:r w:rsidR="00405A0C">
        <w:rPr>
          <w:rFonts w:asciiTheme="minorHAnsi" w:hAnsiTheme="minorHAnsi" w:cstheme="minorHAnsi"/>
        </w:rPr>
        <w:t>s</w:t>
      </w:r>
      <w:r w:rsidRPr="00F970BD">
        <w:rPr>
          <w:rFonts w:asciiTheme="minorHAnsi" w:hAnsiTheme="minorHAnsi" w:cstheme="minorHAnsi"/>
        </w:rPr>
        <w:t xml:space="preserve"> </w:t>
      </w:r>
      <w:r w:rsidR="006F1E8C">
        <w:rPr>
          <w:rFonts w:asciiTheme="minorHAnsi" w:hAnsiTheme="minorHAnsi" w:cstheme="minorHAnsi"/>
        </w:rPr>
        <w:t xml:space="preserve">and will </w:t>
      </w:r>
      <w:r w:rsidRPr="00F970BD">
        <w:rPr>
          <w:rFonts w:asciiTheme="minorHAnsi" w:hAnsiTheme="minorHAnsi" w:cstheme="minorHAnsi"/>
        </w:rPr>
        <w:t>assign designated staff positions with the following responsibilities:</w:t>
      </w:r>
    </w:p>
    <w:p w14:paraId="57284C05" w14:textId="77777777" w:rsidR="00D44F47" w:rsidRPr="006D27F3" w:rsidRDefault="00A20469" w:rsidP="006F1E8C">
      <w:pPr>
        <w:pStyle w:val="BodyText"/>
        <w:spacing w:before="240"/>
        <w:ind w:left="540"/>
        <w:jc w:val="left"/>
        <w:rPr>
          <w:rFonts w:asciiTheme="minorHAnsi" w:hAnsiTheme="minorHAnsi" w:cstheme="minorHAnsi"/>
        </w:rPr>
      </w:pPr>
      <w:r w:rsidRPr="006D27F3">
        <w:rPr>
          <w:rFonts w:asciiTheme="minorHAnsi" w:hAnsiTheme="minorHAnsi" w:cstheme="minorHAnsi"/>
        </w:rPr>
        <w:t>a</w:t>
      </w:r>
      <w:r w:rsidR="00C158C4" w:rsidRPr="006D27F3">
        <w:rPr>
          <w:rFonts w:asciiTheme="minorHAnsi" w:hAnsiTheme="minorHAnsi" w:cstheme="minorHAnsi"/>
        </w:rPr>
        <w:t>.</w:t>
      </w:r>
      <w:r w:rsidR="006F1E8C" w:rsidRPr="006D27F3">
        <w:rPr>
          <w:rFonts w:asciiTheme="minorHAnsi" w:hAnsiTheme="minorHAnsi" w:cstheme="minorHAnsi"/>
        </w:rPr>
        <w:t xml:space="preserve"> </w:t>
      </w:r>
      <w:r w:rsidR="006F1E8C" w:rsidRPr="006D27F3">
        <w:rPr>
          <w:rFonts w:asciiTheme="minorHAnsi" w:hAnsiTheme="minorHAnsi" w:cstheme="minorHAnsi"/>
          <w:b/>
        </w:rPr>
        <w:t>Records officer:</w:t>
      </w:r>
      <w:r w:rsidR="006F1E8C" w:rsidRPr="006D27F3">
        <w:rPr>
          <w:rFonts w:asciiTheme="minorHAnsi" w:hAnsiTheme="minorHAnsi" w:cstheme="minorHAnsi"/>
        </w:rPr>
        <w:t xml:space="preserve"> </w:t>
      </w:r>
      <w:r w:rsidR="00D44F47" w:rsidRPr="006D27F3">
        <w:rPr>
          <w:rFonts w:asciiTheme="minorHAnsi" w:hAnsiTheme="minorHAnsi" w:cstheme="minorHAnsi"/>
        </w:rPr>
        <w:t xml:space="preserve">The </w:t>
      </w:r>
      <w:r w:rsidR="00A25A73" w:rsidRPr="006D27F3">
        <w:rPr>
          <w:rFonts w:asciiTheme="minorHAnsi" w:hAnsiTheme="minorHAnsi" w:cstheme="minorHAnsi"/>
        </w:rPr>
        <w:t xml:space="preserve">corporate communications/public information manager </w:t>
      </w:r>
      <w:r w:rsidR="00DF51D3" w:rsidRPr="006D27F3">
        <w:rPr>
          <w:rFonts w:asciiTheme="minorHAnsi" w:hAnsiTheme="minorHAnsi" w:cstheme="minorHAnsi"/>
        </w:rPr>
        <w:t xml:space="preserve">is </w:t>
      </w:r>
      <w:r w:rsidR="00D44F47" w:rsidRPr="006D27F3">
        <w:rPr>
          <w:rFonts w:asciiTheme="minorHAnsi" w:hAnsiTheme="minorHAnsi" w:cstheme="minorHAnsi"/>
        </w:rPr>
        <w:t xml:space="preserve">the </w:t>
      </w:r>
      <w:r w:rsidR="00B2185F">
        <w:rPr>
          <w:rFonts w:asciiTheme="minorHAnsi" w:hAnsiTheme="minorHAnsi" w:cstheme="minorHAnsi"/>
        </w:rPr>
        <w:t>[AGENCY]</w:t>
      </w:r>
      <w:r w:rsidR="00D44F47" w:rsidRPr="006D27F3">
        <w:rPr>
          <w:rFonts w:asciiTheme="minorHAnsi" w:hAnsiTheme="minorHAnsi" w:cstheme="minorHAnsi"/>
        </w:rPr>
        <w:t xml:space="preserve">’s </w:t>
      </w:r>
      <w:r w:rsidR="00405A0C" w:rsidRPr="006D27F3">
        <w:rPr>
          <w:rFonts w:ascii="Calibri" w:hAnsi="Calibri" w:cs="Calibri"/>
        </w:rPr>
        <w:t>designated</w:t>
      </w:r>
      <w:r w:rsidR="00405A0C" w:rsidRPr="006D27F3">
        <w:rPr>
          <w:rFonts w:asciiTheme="minorHAnsi" w:hAnsiTheme="minorHAnsi" w:cstheme="minorHAnsi"/>
        </w:rPr>
        <w:t xml:space="preserve"> </w:t>
      </w:r>
      <w:r w:rsidR="00572585" w:rsidRPr="006D27F3">
        <w:rPr>
          <w:rFonts w:asciiTheme="minorHAnsi" w:hAnsiTheme="minorHAnsi" w:cstheme="minorHAnsi"/>
        </w:rPr>
        <w:t>r</w:t>
      </w:r>
      <w:r w:rsidR="00D44F47" w:rsidRPr="006D27F3">
        <w:rPr>
          <w:rFonts w:asciiTheme="minorHAnsi" w:hAnsiTheme="minorHAnsi" w:cstheme="minorHAnsi"/>
        </w:rPr>
        <w:t xml:space="preserve">ecords </w:t>
      </w:r>
      <w:r w:rsidR="00572585" w:rsidRPr="006D27F3">
        <w:rPr>
          <w:rFonts w:asciiTheme="minorHAnsi" w:hAnsiTheme="minorHAnsi" w:cstheme="minorHAnsi"/>
        </w:rPr>
        <w:t>o</w:t>
      </w:r>
      <w:r w:rsidR="00D44F47" w:rsidRPr="006D27F3">
        <w:rPr>
          <w:rFonts w:asciiTheme="minorHAnsi" w:hAnsiTheme="minorHAnsi" w:cstheme="minorHAnsi"/>
        </w:rPr>
        <w:t>fficer and serve</w:t>
      </w:r>
      <w:r w:rsidR="00FA059D" w:rsidRPr="006D27F3">
        <w:rPr>
          <w:rFonts w:asciiTheme="minorHAnsi" w:hAnsiTheme="minorHAnsi" w:cstheme="minorHAnsi"/>
        </w:rPr>
        <w:t>s</w:t>
      </w:r>
      <w:r w:rsidR="00D44F47" w:rsidRPr="006D27F3">
        <w:rPr>
          <w:rFonts w:asciiTheme="minorHAnsi" w:hAnsiTheme="minorHAnsi" w:cstheme="minorHAnsi"/>
        </w:rPr>
        <w:t xml:space="preserve"> as the liaison with the </w:t>
      </w:r>
      <w:r w:rsidR="00572585" w:rsidRPr="006D27F3">
        <w:rPr>
          <w:rFonts w:asciiTheme="minorHAnsi" w:hAnsiTheme="minorHAnsi" w:cstheme="minorHAnsi"/>
        </w:rPr>
        <w:t>s</w:t>
      </w:r>
      <w:r w:rsidR="00D44F47" w:rsidRPr="006D27F3">
        <w:rPr>
          <w:rFonts w:asciiTheme="minorHAnsi" w:hAnsiTheme="minorHAnsi" w:cstheme="minorHAnsi"/>
        </w:rPr>
        <w:t xml:space="preserve">tate </w:t>
      </w:r>
      <w:r w:rsidR="00572585" w:rsidRPr="006D27F3">
        <w:rPr>
          <w:rFonts w:asciiTheme="minorHAnsi" w:hAnsiTheme="minorHAnsi" w:cstheme="minorHAnsi"/>
        </w:rPr>
        <w:t>a</w:t>
      </w:r>
      <w:r w:rsidR="00D44F47" w:rsidRPr="006D27F3">
        <w:rPr>
          <w:rFonts w:asciiTheme="minorHAnsi" w:hAnsiTheme="minorHAnsi" w:cstheme="minorHAnsi"/>
        </w:rPr>
        <w:t>rchivist.</w:t>
      </w:r>
    </w:p>
    <w:p w14:paraId="57284C06" w14:textId="77777777" w:rsidR="007B060C" w:rsidRPr="006D27F3" w:rsidRDefault="00A20469" w:rsidP="006F1E8C">
      <w:pPr>
        <w:pStyle w:val="BodyText"/>
        <w:spacing w:before="240"/>
        <w:ind w:left="540"/>
        <w:jc w:val="left"/>
        <w:rPr>
          <w:rFonts w:asciiTheme="minorHAnsi" w:hAnsiTheme="minorHAnsi" w:cstheme="minorHAnsi"/>
        </w:rPr>
      </w:pPr>
      <w:r w:rsidRPr="006D27F3">
        <w:rPr>
          <w:rFonts w:asciiTheme="minorHAnsi" w:hAnsiTheme="minorHAnsi" w:cstheme="minorHAnsi"/>
        </w:rPr>
        <w:t>b</w:t>
      </w:r>
      <w:r w:rsidR="00C158C4" w:rsidRPr="006D27F3">
        <w:rPr>
          <w:rFonts w:asciiTheme="minorHAnsi" w:hAnsiTheme="minorHAnsi" w:cstheme="minorHAnsi"/>
        </w:rPr>
        <w:t>.</w:t>
      </w:r>
      <w:r w:rsidR="006F1E8C" w:rsidRPr="006D27F3">
        <w:rPr>
          <w:rFonts w:asciiTheme="minorHAnsi" w:hAnsiTheme="minorHAnsi" w:cstheme="minorHAnsi"/>
        </w:rPr>
        <w:t xml:space="preserve"> </w:t>
      </w:r>
      <w:r w:rsidR="006F1E8C" w:rsidRPr="006D27F3">
        <w:rPr>
          <w:rFonts w:asciiTheme="minorHAnsi" w:hAnsiTheme="minorHAnsi" w:cstheme="minorHAnsi"/>
          <w:b/>
        </w:rPr>
        <w:t>Oversight:</w:t>
      </w:r>
      <w:r w:rsidR="006F1E8C" w:rsidRPr="006D27F3">
        <w:rPr>
          <w:rFonts w:asciiTheme="minorHAnsi" w:hAnsiTheme="minorHAnsi" w:cstheme="minorHAnsi"/>
        </w:rPr>
        <w:t xml:space="preserve"> </w:t>
      </w:r>
      <w:r w:rsidR="007B060C" w:rsidRPr="006D27F3">
        <w:rPr>
          <w:rFonts w:ascii="Calibri" w:hAnsi="Calibri" w:cs="Calibri"/>
        </w:rPr>
        <w:t xml:space="preserve">The corporate communications/public information manager is responsible for general oversight of the </w:t>
      </w:r>
      <w:r w:rsidR="00B2185F">
        <w:rPr>
          <w:rFonts w:ascii="Calibri" w:hAnsi="Calibri" w:cs="Calibri"/>
        </w:rPr>
        <w:t>[AGENCY]</w:t>
      </w:r>
      <w:r w:rsidR="007B060C" w:rsidRPr="006D27F3">
        <w:rPr>
          <w:rFonts w:ascii="Calibri" w:hAnsi="Calibri" w:cs="Calibri"/>
        </w:rPr>
        <w:t>’s records management program and for developing and maintaining internal operating procedures to address public records requests.</w:t>
      </w:r>
    </w:p>
    <w:p w14:paraId="57284C07" w14:textId="77777777" w:rsidR="00D44F47" w:rsidRPr="006D27F3" w:rsidRDefault="00A20469" w:rsidP="006F1E8C">
      <w:pPr>
        <w:pStyle w:val="BodyText"/>
        <w:spacing w:before="240"/>
        <w:ind w:left="540"/>
        <w:jc w:val="left"/>
        <w:rPr>
          <w:rFonts w:asciiTheme="minorHAnsi" w:hAnsiTheme="minorHAnsi" w:cstheme="minorHAnsi"/>
        </w:rPr>
      </w:pPr>
      <w:r w:rsidRPr="006D27F3">
        <w:rPr>
          <w:rFonts w:asciiTheme="minorHAnsi" w:hAnsiTheme="minorHAnsi" w:cstheme="minorHAnsi"/>
        </w:rPr>
        <w:t>c</w:t>
      </w:r>
      <w:r w:rsidR="007B060C" w:rsidRPr="006D27F3">
        <w:rPr>
          <w:rFonts w:asciiTheme="minorHAnsi" w:hAnsiTheme="minorHAnsi" w:cstheme="minorHAnsi"/>
        </w:rPr>
        <w:t>.</w:t>
      </w:r>
      <w:r w:rsidR="006F1E8C" w:rsidRPr="006D27F3">
        <w:rPr>
          <w:rFonts w:asciiTheme="minorHAnsi" w:hAnsiTheme="minorHAnsi" w:cstheme="minorHAnsi"/>
        </w:rPr>
        <w:t xml:space="preserve"> </w:t>
      </w:r>
      <w:r w:rsidR="006F1E8C" w:rsidRPr="006D27F3">
        <w:rPr>
          <w:rFonts w:asciiTheme="minorHAnsi" w:hAnsiTheme="minorHAnsi" w:cstheme="minorHAnsi"/>
          <w:b/>
        </w:rPr>
        <w:t>Retention schedules:</w:t>
      </w:r>
      <w:r w:rsidR="006F1E8C" w:rsidRPr="006D27F3">
        <w:rPr>
          <w:rFonts w:asciiTheme="minorHAnsi" w:hAnsiTheme="minorHAnsi" w:cstheme="minorHAnsi"/>
        </w:rPr>
        <w:t xml:space="preserve"> </w:t>
      </w:r>
      <w:r w:rsidR="00D44F47" w:rsidRPr="006D27F3">
        <w:rPr>
          <w:rFonts w:asciiTheme="minorHAnsi" w:hAnsiTheme="minorHAnsi" w:cstheme="minorHAnsi"/>
        </w:rPr>
        <w:t xml:space="preserve">The </w:t>
      </w:r>
      <w:r w:rsidR="00A25A73" w:rsidRPr="006D27F3">
        <w:rPr>
          <w:rFonts w:ascii="Calibri" w:hAnsi="Calibri" w:cs="Calibri"/>
        </w:rPr>
        <w:t xml:space="preserve">corporate communications/public information manager </w:t>
      </w:r>
      <w:r w:rsidR="0016069B" w:rsidRPr="006D27F3">
        <w:rPr>
          <w:rFonts w:asciiTheme="minorHAnsi" w:hAnsiTheme="minorHAnsi" w:cstheme="minorHAnsi"/>
        </w:rPr>
        <w:t xml:space="preserve">shall provide and maintain the </w:t>
      </w:r>
      <w:r w:rsidR="00B2185F">
        <w:rPr>
          <w:rFonts w:asciiTheme="minorHAnsi" w:hAnsiTheme="minorHAnsi" w:cstheme="minorHAnsi"/>
        </w:rPr>
        <w:t>[AGENCY]</w:t>
      </w:r>
      <w:r w:rsidR="00405A0C" w:rsidRPr="006D27F3">
        <w:rPr>
          <w:rFonts w:asciiTheme="minorHAnsi" w:hAnsiTheme="minorHAnsi" w:cstheme="minorHAnsi"/>
        </w:rPr>
        <w:t>’s</w:t>
      </w:r>
      <w:r w:rsidR="0016069B" w:rsidRPr="006D27F3">
        <w:rPr>
          <w:rFonts w:asciiTheme="minorHAnsi" w:hAnsiTheme="minorHAnsi" w:cstheme="minorHAnsi"/>
        </w:rPr>
        <w:t xml:space="preserve"> records </w:t>
      </w:r>
      <w:r w:rsidR="00FA059D" w:rsidRPr="006D27F3">
        <w:rPr>
          <w:rFonts w:asciiTheme="minorHAnsi" w:hAnsiTheme="minorHAnsi" w:cstheme="minorHAnsi"/>
        </w:rPr>
        <w:t>retention schedule</w:t>
      </w:r>
      <w:r w:rsidR="00405A0C" w:rsidRPr="006D27F3">
        <w:rPr>
          <w:rFonts w:asciiTheme="minorHAnsi" w:hAnsiTheme="minorHAnsi" w:cstheme="minorHAnsi"/>
        </w:rPr>
        <w:t>s</w:t>
      </w:r>
      <w:r w:rsidR="00FA059D" w:rsidRPr="006D27F3">
        <w:rPr>
          <w:rFonts w:asciiTheme="minorHAnsi" w:hAnsiTheme="minorHAnsi" w:cstheme="minorHAnsi"/>
        </w:rPr>
        <w:t xml:space="preserve"> and shall ensure that employees </w:t>
      </w:r>
      <w:r w:rsidR="00696A1D" w:rsidRPr="006D27F3">
        <w:rPr>
          <w:rFonts w:asciiTheme="minorHAnsi" w:hAnsiTheme="minorHAnsi" w:cstheme="minorHAnsi"/>
        </w:rPr>
        <w:t>are provided with information and receive training on</w:t>
      </w:r>
      <w:r w:rsidR="00FA059D" w:rsidRPr="006D27F3">
        <w:rPr>
          <w:rFonts w:asciiTheme="minorHAnsi" w:hAnsiTheme="minorHAnsi" w:cstheme="minorHAnsi"/>
        </w:rPr>
        <w:t xml:space="preserve"> records management and retention. The </w:t>
      </w:r>
      <w:r w:rsidR="00B2185F">
        <w:rPr>
          <w:rFonts w:asciiTheme="minorHAnsi" w:hAnsiTheme="minorHAnsi" w:cstheme="minorHAnsi"/>
        </w:rPr>
        <w:t>[AGENCY]</w:t>
      </w:r>
      <w:r w:rsidR="00FA059D" w:rsidRPr="006D27F3">
        <w:rPr>
          <w:rFonts w:asciiTheme="minorHAnsi" w:hAnsiTheme="minorHAnsi" w:cstheme="minorHAnsi"/>
        </w:rPr>
        <w:t xml:space="preserve"> will make this training accessible to all employees.</w:t>
      </w:r>
    </w:p>
    <w:p w14:paraId="57284C08" w14:textId="77777777" w:rsidR="00186BE4" w:rsidRPr="006D27F3" w:rsidRDefault="00A20469" w:rsidP="006F1E8C">
      <w:pPr>
        <w:pStyle w:val="BodyText"/>
        <w:spacing w:before="240"/>
        <w:ind w:left="540"/>
        <w:jc w:val="left"/>
        <w:rPr>
          <w:rFonts w:ascii="Calibri" w:hAnsi="Calibri" w:cs="Calibri"/>
        </w:rPr>
      </w:pPr>
      <w:r w:rsidRPr="006D27F3">
        <w:rPr>
          <w:rFonts w:asciiTheme="minorHAnsi" w:hAnsiTheme="minorHAnsi" w:cstheme="minorHAnsi"/>
        </w:rPr>
        <w:t>d</w:t>
      </w:r>
      <w:r w:rsidR="00186BE4" w:rsidRPr="006D27F3">
        <w:rPr>
          <w:rFonts w:asciiTheme="minorHAnsi" w:hAnsiTheme="minorHAnsi" w:cstheme="minorHAnsi"/>
        </w:rPr>
        <w:t>.</w:t>
      </w:r>
      <w:r w:rsidR="006F1E8C" w:rsidRPr="006D27F3">
        <w:rPr>
          <w:rFonts w:asciiTheme="minorHAnsi" w:hAnsiTheme="minorHAnsi" w:cstheme="minorHAnsi"/>
        </w:rPr>
        <w:t xml:space="preserve"> </w:t>
      </w:r>
      <w:r w:rsidR="006F1E8C" w:rsidRPr="006D27F3">
        <w:rPr>
          <w:rFonts w:asciiTheme="minorHAnsi" w:hAnsiTheme="minorHAnsi" w:cstheme="minorHAnsi"/>
          <w:b/>
        </w:rPr>
        <w:t>Training:</w:t>
      </w:r>
      <w:r w:rsidR="006F1E8C" w:rsidRPr="006D27F3">
        <w:rPr>
          <w:rFonts w:asciiTheme="minorHAnsi" w:hAnsiTheme="minorHAnsi" w:cstheme="minorHAnsi"/>
        </w:rPr>
        <w:t xml:space="preserve"> </w:t>
      </w:r>
      <w:r w:rsidR="00186BE4" w:rsidRPr="006D27F3">
        <w:rPr>
          <w:rFonts w:ascii="Calibri" w:hAnsi="Calibri" w:cs="Calibri"/>
        </w:rPr>
        <w:t xml:space="preserve">The </w:t>
      </w:r>
      <w:r w:rsidR="00B2185F">
        <w:rPr>
          <w:rFonts w:ascii="Calibri" w:hAnsi="Calibri" w:cs="Calibri"/>
        </w:rPr>
        <w:t>[AGENCY]</w:t>
      </w:r>
      <w:r w:rsidR="00186BE4" w:rsidRPr="006D27F3">
        <w:rPr>
          <w:rFonts w:ascii="Calibri" w:hAnsi="Calibri" w:cs="Calibri"/>
        </w:rPr>
        <w:t xml:space="preserve">’s corporate communications/public information staff are responsible for providing help and guidance to all </w:t>
      </w:r>
      <w:r w:rsidR="00B2185F">
        <w:rPr>
          <w:rFonts w:ascii="Calibri" w:hAnsi="Calibri" w:cs="Calibri"/>
        </w:rPr>
        <w:t>[AGENCY]</w:t>
      </w:r>
      <w:r w:rsidR="00186BE4" w:rsidRPr="006D27F3">
        <w:rPr>
          <w:rFonts w:ascii="Calibri" w:hAnsi="Calibri" w:cs="Calibri"/>
        </w:rPr>
        <w:t xml:space="preserve"> staff to aid them in managing </w:t>
      </w:r>
      <w:r w:rsidR="00B2185F">
        <w:rPr>
          <w:rFonts w:ascii="Calibri" w:hAnsi="Calibri" w:cs="Calibri"/>
        </w:rPr>
        <w:t>[AGENCY]</w:t>
      </w:r>
      <w:r w:rsidR="00186BE4" w:rsidRPr="006D27F3">
        <w:rPr>
          <w:rFonts w:ascii="Calibri" w:hAnsi="Calibri" w:cs="Calibri"/>
        </w:rPr>
        <w:t xml:space="preserve"> records.</w:t>
      </w:r>
    </w:p>
    <w:p w14:paraId="57284C09" w14:textId="77777777" w:rsidR="008D09C6" w:rsidRPr="00F970BD" w:rsidRDefault="00A20469" w:rsidP="006F1E8C">
      <w:pPr>
        <w:pStyle w:val="BodyText"/>
        <w:tabs>
          <w:tab w:val="left" w:pos="900"/>
        </w:tabs>
        <w:spacing w:before="240"/>
        <w:ind w:left="540"/>
        <w:jc w:val="left"/>
        <w:rPr>
          <w:rFonts w:asciiTheme="minorHAnsi" w:hAnsiTheme="minorHAnsi" w:cstheme="minorHAnsi"/>
        </w:rPr>
      </w:pPr>
      <w:r w:rsidRPr="006D27F3">
        <w:rPr>
          <w:rFonts w:ascii="Calibri" w:hAnsi="Calibri" w:cs="Calibri"/>
        </w:rPr>
        <w:t>e</w:t>
      </w:r>
      <w:r w:rsidR="008D09C6" w:rsidRPr="006D27F3">
        <w:rPr>
          <w:rFonts w:ascii="Calibri" w:hAnsi="Calibri" w:cs="Calibri"/>
        </w:rPr>
        <w:t>.</w:t>
      </w:r>
      <w:r w:rsidR="006F1E8C" w:rsidRPr="006D27F3">
        <w:rPr>
          <w:rFonts w:ascii="Calibri" w:hAnsi="Calibri" w:cs="Calibri"/>
        </w:rPr>
        <w:t xml:space="preserve"> </w:t>
      </w:r>
      <w:r w:rsidR="006F1E8C" w:rsidRPr="006D27F3">
        <w:rPr>
          <w:rFonts w:ascii="Calibri" w:hAnsi="Calibri" w:cs="Calibri"/>
          <w:b/>
        </w:rPr>
        <w:t>Future systems:</w:t>
      </w:r>
      <w:r w:rsidR="006F1E8C" w:rsidRPr="006D27F3">
        <w:rPr>
          <w:rFonts w:ascii="Calibri" w:hAnsi="Calibri" w:cs="Calibri"/>
        </w:rPr>
        <w:t xml:space="preserve"> </w:t>
      </w:r>
      <w:r w:rsidR="008D09C6" w:rsidRPr="006D27F3">
        <w:rPr>
          <w:rFonts w:ascii="Calibri" w:hAnsi="Calibri" w:cs="Calibri"/>
        </w:rPr>
        <w:t xml:space="preserve">The </w:t>
      </w:r>
      <w:r w:rsidR="00B2185F">
        <w:rPr>
          <w:rFonts w:ascii="Calibri" w:hAnsi="Calibri" w:cs="Calibri"/>
        </w:rPr>
        <w:t>[AGENCY]</w:t>
      </w:r>
      <w:r w:rsidR="008D09C6" w:rsidRPr="006D27F3">
        <w:rPr>
          <w:rFonts w:ascii="Calibri" w:hAnsi="Calibri" w:cs="Calibri"/>
        </w:rPr>
        <w:t xml:space="preserve"> will include a representative from the corporate communications/public information section in any analysis and implementation of microfilm or electronic imaging systems, and paper and electronic document or records management systems.</w:t>
      </w:r>
    </w:p>
    <w:p w14:paraId="57284C0A" w14:textId="77777777" w:rsidR="00C158C4" w:rsidRPr="00F970BD" w:rsidRDefault="00C158C4" w:rsidP="007B1598">
      <w:pPr>
        <w:pStyle w:val="BodyText"/>
        <w:spacing w:before="240"/>
        <w:jc w:val="left"/>
        <w:rPr>
          <w:rFonts w:asciiTheme="minorHAnsi" w:hAnsiTheme="minorHAnsi" w:cstheme="minorHAnsi"/>
        </w:rPr>
      </w:pPr>
      <w:r w:rsidRPr="006F1E8C">
        <w:rPr>
          <w:rFonts w:asciiTheme="minorHAnsi" w:hAnsiTheme="minorHAnsi" w:cstheme="minorHAnsi"/>
        </w:rPr>
        <w:t xml:space="preserve">3. </w:t>
      </w:r>
      <w:r w:rsidRPr="007B1598">
        <w:rPr>
          <w:rFonts w:asciiTheme="minorHAnsi" w:hAnsiTheme="minorHAnsi" w:cstheme="minorHAnsi"/>
          <w:b/>
        </w:rPr>
        <w:t>Education and training:</w:t>
      </w:r>
      <w:r w:rsidRPr="00F970BD">
        <w:rPr>
          <w:rFonts w:asciiTheme="minorHAnsi" w:hAnsiTheme="minorHAnsi" w:cstheme="minorHAnsi"/>
        </w:rPr>
        <w:t xml:space="preserve"> The </w:t>
      </w:r>
      <w:r w:rsidR="00B2185F">
        <w:rPr>
          <w:rFonts w:asciiTheme="minorHAnsi" w:hAnsiTheme="minorHAnsi" w:cstheme="minorHAnsi"/>
        </w:rPr>
        <w:t>[AGENCY]</w:t>
      </w:r>
      <w:r w:rsidRPr="00F970BD">
        <w:rPr>
          <w:rFonts w:asciiTheme="minorHAnsi" w:hAnsiTheme="minorHAnsi" w:cstheme="minorHAnsi"/>
        </w:rPr>
        <w:t xml:space="preserve"> requires that basic public records education be completed as a component of the </w:t>
      </w:r>
      <w:r w:rsidR="00B2185F">
        <w:rPr>
          <w:rFonts w:asciiTheme="minorHAnsi" w:hAnsiTheme="minorHAnsi" w:cstheme="minorHAnsi"/>
        </w:rPr>
        <w:t>[AGENCY]</w:t>
      </w:r>
      <w:r w:rsidRPr="00F970BD">
        <w:rPr>
          <w:rFonts w:asciiTheme="minorHAnsi" w:hAnsiTheme="minorHAnsi" w:cstheme="minorHAnsi"/>
        </w:rPr>
        <w:t>’s new employee orientation training and incorporated as part of regular employee training to be completed once a biennium</w:t>
      </w:r>
      <w:r w:rsidR="00405A0C">
        <w:rPr>
          <w:rFonts w:asciiTheme="minorHAnsi" w:hAnsiTheme="minorHAnsi" w:cstheme="minorHAnsi"/>
        </w:rPr>
        <w:t>.</w:t>
      </w:r>
      <w:r w:rsidRPr="00F970BD">
        <w:rPr>
          <w:rFonts w:asciiTheme="minorHAnsi" w:hAnsiTheme="minorHAnsi" w:cstheme="minorHAnsi"/>
        </w:rPr>
        <w:t xml:space="preserve"> The </w:t>
      </w:r>
      <w:r w:rsidR="00B2185F">
        <w:rPr>
          <w:rFonts w:asciiTheme="minorHAnsi" w:hAnsiTheme="minorHAnsi" w:cstheme="minorHAnsi"/>
        </w:rPr>
        <w:t>[AGENCY]</w:t>
      </w:r>
      <w:r w:rsidRPr="00F970BD">
        <w:rPr>
          <w:rFonts w:asciiTheme="minorHAnsi" w:hAnsiTheme="minorHAnsi" w:cstheme="minorHAnsi"/>
        </w:rPr>
        <w:t xml:space="preserve"> </w:t>
      </w:r>
      <w:r w:rsidR="00BD315F" w:rsidRPr="00F970BD">
        <w:rPr>
          <w:rFonts w:asciiTheme="minorHAnsi" w:hAnsiTheme="minorHAnsi" w:cstheme="minorHAnsi"/>
        </w:rPr>
        <w:t xml:space="preserve">will </w:t>
      </w:r>
      <w:r w:rsidRPr="00F970BD">
        <w:rPr>
          <w:rFonts w:asciiTheme="minorHAnsi" w:hAnsiTheme="minorHAnsi" w:cstheme="minorHAnsi"/>
        </w:rPr>
        <w:t>utilize</w:t>
      </w:r>
      <w:r w:rsidR="00BD315F" w:rsidRPr="00F970BD">
        <w:rPr>
          <w:rFonts w:asciiTheme="minorHAnsi" w:hAnsiTheme="minorHAnsi" w:cstheme="minorHAnsi"/>
        </w:rPr>
        <w:t xml:space="preserve"> appropriate means </w:t>
      </w:r>
      <w:r w:rsidRPr="00F970BD">
        <w:rPr>
          <w:rFonts w:asciiTheme="minorHAnsi" w:hAnsiTheme="minorHAnsi" w:cstheme="minorHAnsi"/>
        </w:rPr>
        <w:t>to provide public records training</w:t>
      </w:r>
      <w:r w:rsidR="00BD315F" w:rsidRPr="00F970BD">
        <w:rPr>
          <w:rFonts w:asciiTheme="minorHAnsi" w:hAnsiTheme="minorHAnsi" w:cstheme="minorHAnsi"/>
        </w:rPr>
        <w:t xml:space="preserve"> to its employees.</w:t>
      </w:r>
    </w:p>
    <w:p w14:paraId="57284C0B" w14:textId="77777777" w:rsidR="00C158C4" w:rsidRPr="00F970BD" w:rsidRDefault="00C158C4" w:rsidP="00BD315F">
      <w:pPr>
        <w:pStyle w:val="BodyText"/>
        <w:spacing w:before="240"/>
        <w:jc w:val="left"/>
        <w:rPr>
          <w:rFonts w:ascii="Calibri" w:hAnsi="Calibri" w:cs="Calibri"/>
        </w:rPr>
      </w:pPr>
      <w:r w:rsidRPr="006F1E8C">
        <w:rPr>
          <w:rFonts w:asciiTheme="minorHAnsi" w:hAnsiTheme="minorHAnsi" w:cstheme="minorHAnsi"/>
        </w:rPr>
        <w:t xml:space="preserve">4. </w:t>
      </w:r>
      <w:r w:rsidRPr="007B1598">
        <w:rPr>
          <w:rFonts w:asciiTheme="minorHAnsi" w:hAnsiTheme="minorHAnsi" w:cstheme="minorHAnsi"/>
          <w:b/>
        </w:rPr>
        <w:t>Access and ownership:</w:t>
      </w:r>
      <w:r w:rsidRPr="00F970BD">
        <w:rPr>
          <w:rFonts w:asciiTheme="minorHAnsi" w:hAnsiTheme="minorHAnsi" w:cstheme="minorHAnsi"/>
        </w:rPr>
        <w:t xml:space="preserve"> </w:t>
      </w:r>
      <w:r w:rsidR="000A780D" w:rsidRPr="00F970BD">
        <w:rPr>
          <w:rFonts w:asciiTheme="minorHAnsi" w:hAnsiTheme="minorHAnsi" w:cstheme="minorHAnsi"/>
        </w:rPr>
        <w:t xml:space="preserve">Regardless of how the </w:t>
      </w:r>
      <w:r w:rsidR="00B2185F">
        <w:rPr>
          <w:rFonts w:asciiTheme="minorHAnsi" w:hAnsiTheme="minorHAnsi" w:cstheme="minorHAnsi"/>
        </w:rPr>
        <w:t>[AGENCY]</w:t>
      </w:r>
      <w:r w:rsidR="000A780D" w:rsidRPr="00F970BD">
        <w:rPr>
          <w:rFonts w:asciiTheme="minorHAnsi" w:hAnsiTheme="minorHAnsi" w:cstheme="minorHAnsi"/>
        </w:rPr>
        <w:t xml:space="preserve">’s public records are stored, the </w:t>
      </w:r>
      <w:r w:rsidR="00B2185F">
        <w:rPr>
          <w:rFonts w:asciiTheme="minorHAnsi" w:hAnsiTheme="minorHAnsi" w:cstheme="minorHAnsi"/>
        </w:rPr>
        <w:t>[AGENCY]</w:t>
      </w:r>
      <w:r w:rsidR="000A780D" w:rsidRPr="00F970BD">
        <w:rPr>
          <w:rFonts w:asciiTheme="minorHAnsi" w:hAnsiTheme="minorHAnsi" w:cstheme="minorHAnsi"/>
        </w:rPr>
        <w:t xml:space="preserve"> has custody and control over its public records. Through an on-going review of technological advances, the </w:t>
      </w:r>
      <w:r w:rsidR="00B2185F">
        <w:rPr>
          <w:rFonts w:asciiTheme="minorHAnsi" w:hAnsiTheme="minorHAnsi" w:cstheme="minorHAnsi"/>
        </w:rPr>
        <w:t>[AGENCY]</w:t>
      </w:r>
      <w:r w:rsidR="000A780D" w:rsidRPr="00F970BD">
        <w:rPr>
          <w:rFonts w:asciiTheme="minorHAnsi" w:hAnsiTheme="minorHAnsi" w:cstheme="minorHAnsi"/>
        </w:rPr>
        <w:t xml:space="preserve"> will ensure that all its public records are maintained and accessible for as long as required by its retention schedule or litigation holds. T</w:t>
      </w:r>
      <w:r w:rsidR="000A780D" w:rsidRPr="00F970BD">
        <w:rPr>
          <w:rFonts w:ascii="Calibri" w:hAnsi="Calibri" w:cs="Calibri"/>
        </w:rPr>
        <w:t xml:space="preserve">he </w:t>
      </w:r>
      <w:r w:rsidR="00B2185F">
        <w:rPr>
          <w:rFonts w:ascii="Calibri" w:hAnsi="Calibri" w:cs="Calibri"/>
        </w:rPr>
        <w:t>[AGENCY]</w:t>
      </w:r>
      <w:r w:rsidR="000A780D" w:rsidRPr="00F970BD">
        <w:rPr>
          <w:rFonts w:ascii="Calibri" w:hAnsi="Calibri" w:cs="Calibri"/>
        </w:rPr>
        <w:t xml:space="preserve"> shall migrate public records to keep current with technology and to ensure continuing accessibility.</w:t>
      </w:r>
    </w:p>
    <w:p w14:paraId="57284C0C" w14:textId="77777777" w:rsidR="000A780D" w:rsidRPr="00F970BD" w:rsidRDefault="00405A0C" w:rsidP="007B1598">
      <w:pPr>
        <w:pStyle w:val="BodyText"/>
        <w:spacing w:before="240"/>
        <w:jc w:val="left"/>
        <w:rPr>
          <w:rFonts w:ascii="Calibri" w:hAnsi="Calibri" w:cs="Calibri"/>
        </w:rPr>
      </w:pPr>
      <w:r w:rsidRPr="007B1598">
        <w:rPr>
          <w:rFonts w:ascii="Calibri" w:hAnsi="Calibri" w:cs="Calibri"/>
          <w:b/>
        </w:rPr>
        <w:t>Note:</w:t>
      </w:r>
      <w:r>
        <w:rPr>
          <w:rFonts w:ascii="Calibri" w:hAnsi="Calibri" w:cs="Calibri"/>
        </w:rPr>
        <w:t xml:space="preserve"> </w:t>
      </w:r>
      <w:r w:rsidR="000A780D" w:rsidRPr="00F970BD">
        <w:rPr>
          <w:rFonts w:ascii="Calibri" w:hAnsi="Calibri" w:cs="Calibri"/>
        </w:rPr>
        <w:t xml:space="preserve">The </w:t>
      </w:r>
      <w:r w:rsidR="00B2185F">
        <w:rPr>
          <w:rFonts w:ascii="Calibri" w:hAnsi="Calibri" w:cs="Calibri"/>
        </w:rPr>
        <w:t>[AGENCY]</w:t>
      </w:r>
      <w:r w:rsidR="000A780D" w:rsidRPr="00F970BD">
        <w:rPr>
          <w:rFonts w:ascii="Calibri" w:hAnsi="Calibri" w:cs="Calibri"/>
        </w:rPr>
        <w:t xml:space="preserve">’s disaster mitigation processes are addressed in the </w:t>
      </w:r>
      <w:r w:rsidR="00B2185F">
        <w:rPr>
          <w:rFonts w:ascii="Calibri" w:hAnsi="Calibri" w:cs="Calibri"/>
        </w:rPr>
        <w:t>[AGENCY]</w:t>
      </w:r>
      <w:r w:rsidR="000A780D" w:rsidRPr="00F970BD">
        <w:rPr>
          <w:rFonts w:ascii="Calibri" w:hAnsi="Calibri" w:cs="Calibri"/>
        </w:rPr>
        <w:t>’s disaster preparedness and recovery plan and are incorporated herein by this reference.</w:t>
      </w:r>
    </w:p>
    <w:p w14:paraId="57284C0D" w14:textId="77777777" w:rsidR="000A780D" w:rsidRPr="00F970BD" w:rsidRDefault="000A780D" w:rsidP="007B1598">
      <w:pPr>
        <w:pStyle w:val="BodyText"/>
        <w:spacing w:before="240"/>
        <w:jc w:val="left"/>
        <w:rPr>
          <w:rFonts w:ascii="Calibri" w:hAnsi="Calibri" w:cs="Calibri"/>
        </w:rPr>
      </w:pPr>
      <w:r w:rsidRPr="006F1E8C">
        <w:rPr>
          <w:rFonts w:ascii="Calibri" w:hAnsi="Calibri" w:cs="Calibri"/>
        </w:rPr>
        <w:t xml:space="preserve">5. </w:t>
      </w:r>
      <w:r w:rsidRPr="007B1598">
        <w:rPr>
          <w:rFonts w:ascii="Calibri" w:hAnsi="Calibri" w:cs="Calibri"/>
          <w:b/>
        </w:rPr>
        <w:t>Integrity</w:t>
      </w:r>
      <w:r w:rsidR="00BD315F" w:rsidRPr="00F970BD">
        <w:rPr>
          <w:rFonts w:ascii="Calibri" w:hAnsi="Calibri" w:cs="Calibri"/>
          <w:b/>
        </w:rPr>
        <w:t xml:space="preserve"> of records</w:t>
      </w:r>
      <w:r w:rsidRPr="007B1598">
        <w:rPr>
          <w:rFonts w:ascii="Calibri" w:hAnsi="Calibri" w:cs="Calibri"/>
          <w:b/>
        </w:rPr>
        <w:t>:</w:t>
      </w:r>
      <w:r w:rsidRPr="00F970BD">
        <w:rPr>
          <w:rFonts w:ascii="Calibri" w:hAnsi="Calibri" w:cs="Calibri"/>
        </w:rPr>
        <w:t xml:space="preserve"> The </w:t>
      </w:r>
      <w:r w:rsidR="00B2185F">
        <w:rPr>
          <w:rFonts w:ascii="Calibri" w:hAnsi="Calibri" w:cs="Calibri"/>
        </w:rPr>
        <w:t>[AGENCY]</w:t>
      </w:r>
      <w:r w:rsidRPr="00F970BD">
        <w:rPr>
          <w:rFonts w:ascii="Calibri" w:hAnsi="Calibri" w:cs="Calibri"/>
        </w:rPr>
        <w:t xml:space="preserve"> will ensure </w:t>
      </w:r>
      <w:r w:rsidR="00405A0C">
        <w:rPr>
          <w:rFonts w:ascii="Calibri" w:hAnsi="Calibri" w:cs="Calibri"/>
        </w:rPr>
        <w:t xml:space="preserve">that </w:t>
      </w:r>
      <w:r w:rsidRPr="00F970BD">
        <w:rPr>
          <w:rFonts w:ascii="Calibri" w:hAnsi="Calibri" w:cs="Calibri"/>
        </w:rPr>
        <w:t xml:space="preserve">appropriate access and version controls are applied to all electronically stored records from record creation to final disposition. The authenticity of each record </w:t>
      </w:r>
      <w:r w:rsidR="00BD315F" w:rsidRPr="00F970BD">
        <w:rPr>
          <w:rFonts w:ascii="Calibri" w:hAnsi="Calibri" w:cs="Calibri"/>
        </w:rPr>
        <w:t>ma</w:t>
      </w:r>
      <w:r w:rsidR="00186BE4" w:rsidRPr="00F970BD">
        <w:rPr>
          <w:rFonts w:ascii="Calibri" w:hAnsi="Calibri" w:cs="Calibri"/>
        </w:rPr>
        <w:t>y</w:t>
      </w:r>
      <w:r w:rsidRPr="00F970BD">
        <w:rPr>
          <w:rFonts w:ascii="Calibri" w:hAnsi="Calibri" w:cs="Calibri"/>
        </w:rPr>
        <w:t xml:space="preserve"> be demonstrated either </w:t>
      </w:r>
      <w:r w:rsidR="00C91C5B" w:rsidRPr="00F970BD">
        <w:rPr>
          <w:rFonts w:ascii="Calibri" w:hAnsi="Calibri" w:cs="Calibri"/>
        </w:rPr>
        <w:t>by certified copy of paper records or by accompanying metadata for all electronic records.</w:t>
      </w:r>
    </w:p>
    <w:p w14:paraId="57284C0E" w14:textId="77777777" w:rsidR="00C91C5B" w:rsidRPr="00F970BD" w:rsidRDefault="00C91C5B" w:rsidP="007B1598">
      <w:pPr>
        <w:pStyle w:val="BodyText"/>
        <w:spacing w:before="240"/>
        <w:jc w:val="left"/>
        <w:rPr>
          <w:rFonts w:ascii="Calibri" w:hAnsi="Calibri" w:cs="Calibri"/>
        </w:rPr>
      </w:pPr>
      <w:r w:rsidRPr="006F1E8C">
        <w:rPr>
          <w:rFonts w:ascii="Calibri" w:hAnsi="Calibri" w:cs="Calibri"/>
        </w:rPr>
        <w:t xml:space="preserve">6. </w:t>
      </w:r>
      <w:r w:rsidRPr="007B1598">
        <w:rPr>
          <w:rFonts w:ascii="Calibri" w:hAnsi="Calibri" w:cs="Calibri"/>
          <w:b/>
        </w:rPr>
        <w:t>Retention generally:</w:t>
      </w:r>
      <w:r w:rsidRPr="00F970BD">
        <w:rPr>
          <w:rFonts w:ascii="Calibri" w:hAnsi="Calibri" w:cs="Calibri"/>
        </w:rPr>
        <w:t xml:space="preserve"> The </w:t>
      </w:r>
      <w:r w:rsidR="00B2185F">
        <w:rPr>
          <w:rFonts w:ascii="Calibri" w:hAnsi="Calibri" w:cs="Calibri"/>
        </w:rPr>
        <w:t>[AGENCY]</w:t>
      </w:r>
      <w:r w:rsidRPr="00F970BD">
        <w:rPr>
          <w:rFonts w:ascii="Calibri" w:hAnsi="Calibri" w:cs="Calibri"/>
        </w:rPr>
        <w:t xml:space="preserve"> will preserve</w:t>
      </w:r>
      <w:r w:rsidR="00B3106A" w:rsidRPr="00F970BD">
        <w:rPr>
          <w:rFonts w:ascii="Calibri" w:hAnsi="Calibri" w:cs="Calibri"/>
        </w:rPr>
        <w:t xml:space="preserve">, </w:t>
      </w:r>
      <w:r w:rsidRPr="00F970BD">
        <w:rPr>
          <w:rFonts w:ascii="Calibri" w:hAnsi="Calibri" w:cs="Calibri"/>
        </w:rPr>
        <w:t>classify</w:t>
      </w:r>
      <w:r w:rsidR="00B3106A" w:rsidRPr="00F970BD">
        <w:rPr>
          <w:rFonts w:ascii="Calibri" w:hAnsi="Calibri" w:cs="Calibri"/>
        </w:rPr>
        <w:t>, and dispose of</w:t>
      </w:r>
      <w:r w:rsidRPr="00F970BD">
        <w:rPr>
          <w:rFonts w:ascii="Calibri" w:hAnsi="Calibri" w:cs="Calibri"/>
        </w:rPr>
        <w:t xml:space="preserve"> </w:t>
      </w:r>
      <w:r w:rsidR="00186BE4" w:rsidRPr="00F970BD">
        <w:rPr>
          <w:rFonts w:ascii="Calibri" w:hAnsi="Calibri" w:cs="Calibri"/>
        </w:rPr>
        <w:t xml:space="preserve">its </w:t>
      </w:r>
      <w:r w:rsidRPr="00F970BD">
        <w:rPr>
          <w:rFonts w:ascii="Calibri" w:hAnsi="Calibri" w:cs="Calibri"/>
        </w:rPr>
        <w:t xml:space="preserve">public records in accordance with ORS Chapter 192, OAR Chapter 166-300 and </w:t>
      </w:r>
      <w:r w:rsidR="00B2185F">
        <w:rPr>
          <w:rFonts w:ascii="Calibri" w:hAnsi="Calibri" w:cs="Calibri"/>
        </w:rPr>
        <w:t>[AGENCY]</w:t>
      </w:r>
      <w:r w:rsidRPr="00F970BD">
        <w:rPr>
          <w:rFonts w:ascii="Calibri" w:hAnsi="Calibri" w:cs="Calibri"/>
        </w:rPr>
        <w:t xml:space="preserve"> Policy #4.600 Information Classification</w:t>
      </w:r>
      <w:r w:rsidR="00B3106A" w:rsidRPr="00F970BD">
        <w:rPr>
          <w:rFonts w:ascii="Calibri" w:hAnsi="Calibri" w:cs="Calibri"/>
        </w:rPr>
        <w:t xml:space="preserve"> without regard to the technology or medium used to create or communicate the record</w:t>
      </w:r>
      <w:r w:rsidRPr="00F970BD">
        <w:rPr>
          <w:rFonts w:ascii="Calibri" w:hAnsi="Calibri" w:cs="Calibri"/>
        </w:rPr>
        <w:t xml:space="preserve">. The </w:t>
      </w:r>
      <w:r w:rsidR="00B2185F">
        <w:rPr>
          <w:rFonts w:ascii="Calibri" w:hAnsi="Calibri" w:cs="Calibri"/>
        </w:rPr>
        <w:t>[AGENCY]</w:t>
      </w:r>
      <w:r w:rsidRPr="00F970BD">
        <w:rPr>
          <w:rFonts w:ascii="Calibri" w:hAnsi="Calibri" w:cs="Calibri"/>
        </w:rPr>
        <w:t xml:space="preserve"> will work with the Archives Division to establish retention practices to ensure compliance with ORS Chapter 192 and OAR Chapter 166-300.</w:t>
      </w:r>
    </w:p>
    <w:p w14:paraId="57284C0F" w14:textId="77777777" w:rsidR="00C91C5B" w:rsidRPr="00F970BD" w:rsidRDefault="00A20469" w:rsidP="007B1598">
      <w:pPr>
        <w:pStyle w:val="BodyText"/>
        <w:spacing w:before="240"/>
        <w:ind w:left="540"/>
        <w:jc w:val="left"/>
        <w:rPr>
          <w:rFonts w:ascii="Calibri" w:hAnsi="Calibri" w:cs="Calibri"/>
        </w:rPr>
      </w:pPr>
      <w:r w:rsidRPr="006F1E8C">
        <w:rPr>
          <w:rFonts w:ascii="Calibri" w:hAnsi="Calibri" w:cs="Calibri"/>
        </w:rPr>
        <w:t>a</w:t>
      </w:r>
      <w:r w:rsidR="00C91C5B" w:rsidRPr="006F1E8C">
        <w:rPr>
          <w:rFonts w:ascii="Calibri" w:hAnsi="Calibri" w:cs="Calibri"/>
        </w:rPr>
        <w:t xml:space="preserve">. </w:t>
      </w:r>
      <w:r w:rsidR="00C91C5B" w:rsidRPr="007B1598">
        <w:rPr>
          <w:rFonts w:ascii="Calibri" w:hAnsi="Calibri" w:cs="Calibri"/>
          <w:b/>
        </w:rPr>
        <w:t xml:space="preserve">Cloud </w:t>
      </w:r>
      <w:r w:rsidR="00360672" w:rsidRPr="007B1598">
        <w:rPr>
          <w:rFonts w:ascii="Calibri" w:hAnsi="Calibri" w:cs="Calibri"/>
          <w:b/>
        </w:rPr>
        <w:t>c</w:t>
      </w:r>
      <w:r w:rsidR="00C91C5B" w:rsidRPr="007B1598">
        <w:rPr>
          <w:rFonts w:ascii="Calibri" w:hAnsi="Calibri" w:cs="Calibri"/>
          <w:b/>
        </w:rPr>
        <w:t>omputing:</w:t>
      </w:r>
      <w:r w:rsidR="00C91C5B" w:rsidRPr="00F970BD">
        <w:rPr>
          <w:rFonts w:ascii="Calibri" w:hAnsi="Calibri" w:cs="Calibri"/>
        </w:rPr>
        <w:t xml:space="preserve"> The </w:t>
      </w:r>
      <w:r w:rsidR="00B2185F">
        <w:rPr>
          <w:rFonts w:ascii="Calibri" w:hAnsi="Calibri" w:cs="Calibri"/>
        </w:rPr>
        <w:t>[AGENCY]</w:t>
      </w:r>
      <w:r w:rsidR="00C91C5B" w:rsidRPr="00F970BD">
        <w:rPr>
          <w:rFonts w:ascii="Calibri" w:hAnsi="Calibri" w:cs="Calibri"/>
        </w:rPr>
        <w:t xml:space="preserve">’s practices and procedures with respect to public records management in the Cloud will ensure compliance with </w:t>
      </w:r>
      <w:r w:rsidR="00B2185F">
        <w:rPr>
          <w:rFonts w:ascii="Calibri" w:hAnsi="Calibri" w:cs="Calibri"/>
        </w:rPr>
        <w:t>[AGENCY]</w:t>
      </w:r>
      <w:r w:rsidR="00C91C5B" w:rsidRPr="00F970BD">
        <w:rPr>
          <w:rFonts w:ascii="Calibri" w:hAnsi="Calibri" w:cs="Calibri"/>
        </w:rPr>
        <w:t xml:space="preserve"> policies and procedures and OAR Chapter 166</w:t>
      </w:r>
      <w:r w:rsidR="00405A0C">
        <w:rPr>
          <w:rFonts w:ascii="Calibri" w:hAnsi="Calibri" w:cs="Calibri"/>
        </w:rPr>
        <w:t>-300</w:t>
      </w:r>
      <w:r w:rsidR="00C91C5B" w:rsidRPr="00F970BD">
        <w:rPr>
          <w:rFonts w:ascii="Calibri" w:hAnsi="Calibri" w:cs="Calibri"/>
        </w:rPr>
        <w:t>.</w:t>
      </w:r>
    </w:p>
    <w:p w14:paraId="57284C10" w14:textId="77777777" w:rsidR="00E66264" w:rsidRPr="006D27F3" w:rsidRDefault="00A20469" w:rsidP="007B1598">
      <w:pPr>
        <w:pStyle w:val="BodyText"/>
        <w:spacing w:before="240"/>
        <w:ind w:left="540"/>
        <w:jc w:val="left"/>
        <w:rPr>
          <w:rFonts w:ascii="Calibri" w:hAnsi="Calibri" w:cs="Calibri"/>
        </w:rPr>
      </w:pPr>
      <w:r w:rsidRPr="006D27F3">
        <w:rPr>
          <w:rFonts w:ascii="Calibri" w:hAnsi="Calibri" w:cs="Calibri"/>
        </w:rPr>
        <w:t>b</w:t>
      </w:r>
      <w:r w:rsidR="00C91C5B" w:rsidRPr="006D27F3">
        <w:rPr>
          <w:rFonts w:ascii="Calibri" w:hAnsi="Calibri" w:cs="Calibri"/>
        </w:rPr>
        <w:t xml:space="preserve">. </w:t>
      </w:r>
      <w:r w:rsidR="00E66264" w:rsidRPr="006D27F3">
        <w:rPr>
          <w:rFonts w:ascii="Calibri" w:hAnsi="Calibri" w:cs="Calibri"/>
          <w:b/>
        </w:rPr>
        <w:t>Drafts:</w:t>
      </w:r>
      <w:r w:rsidR="00E66264" w:rsidRPr="006D27F3">
        <w:rPr>
          <w:rFonts w:ascii="Calibri" w:hAnsi="Calibri" w:cs="Calibri"/>
        </w:rPr>
        <w:t xml:space="preserve"> Preliminary or incomplete working drafts are public records subject to disclosure, and they are judged by the same standards as a completed “internal advisory communication</w:t>
      </w:r>
      <w:r w:rsidR="00405A0C" w:rsidRPr="006D27F3">
        <w:rPr>
          <w:rFonts w:ascii="Calibri" w:hAnsi="Calibri" w:cs="Calibri"/>
        </w:rPr>
        <w:t>s</w:t>
      </w:r>
      <w:r w:rsidR="00E66264" w:rsidRPr="006D27F3">
        <w:rPr>
          <w:rFonts w:ascii="Calibri" w:hAnsi="Calibri" w:cs="Calibri"/>
        </w:rPr>
        <w:t>.” Please refer to page 1</w:t>
      </w:r>
      <w:r w:rsidR="004710EE" w:rsidRPr="006D27F3">
        <w:rPr>
          <w:rFonts w:ascii="Calibri" w:hAnsi="Calibri" w:cs="Calibri"/>
        </w:rPr>
        <w:t>3</w:t>
      </w:r>
      <w:r w:rsidR="00E66264" w:rsidRPr="006D27F3">
        <w:rPr>
          <w:rFonts w:ascii="Calibri" w:hAnsi="Calibri" w:cs="Calibri"/>
        </w:rPr>
        <w:t xml:space="preserve"> of this policy.</w:t>
      </w:r>
    </w:p>
    <w:p w14:paraId="57284C11" w14:textId="77777777" w:rsidR="00405A0C" w:rsidRPr="006D27F3" w:rsidRDefault="00A20469" w:rsidP="007B1598">
      <w:pPr>
        <w:pStyle w:val="BodyText"/>
        <w:spacing w:before="240"/>
        <w:ind w:left="540"/>
        <w:jc w:val="left"/>
        <w:rPr>
          <w:rFonts w:ascii="Calibri" w:hAnsi="Calibri" w:cs="Calibri"/>
          <w:b/>
        </w:rPr>
      </w:pPr>
      <w:r w:rsidRPr="006D27F3">
        <w:rPr>
          <w:rFonts w:ascii="Calibri" w:hAnsi="Calibri" w:cs="Calibri"/>
        </w:rPr>
        <w:t>c</w:t>
      </w:r>
      <w:r w:rsidR="00E66264" w:rsidRPr="006D27F3">
        <w:rPr>
          <w:rFonts w:ascii="Calibri" w:hAnsi="Calibri" w:cs="Calibri"/>
        </w:rPr>
        <w:t xml:space="preserve">. </w:t>
      </w:r>
      <w:r w:rsidR="00C91C5B" w:rsidRPr="006D27F3">
        <w:rPr>
          <w:rFonts w:ascii="Calibri" w:hAnsi="Calibri" w:cs="Calibri"/>
          <w:b/>
        </w:rPr>
        <w:t>E</w:t>
      </w:r>
      <w:r w:rsidR="00360672" w:rsidRPr="006D27F3">
        <w:rPr>
          <w:rFonts w:ascii="Calibri" w:hAnsi="Calibri" w:cs="Calibri"/>
          <w:b/>
        </w:rPr>
        <w:t>lectronic m</w:t>
      </w:r>
      <w:r w:rsidR="00C91C5B" w:rsidRPr="006D27F3">
        <w:rPr>
          <w:rFonts w:ascii="Calibri" w:hAnsi="Calibri" w:cs="Calibri"/>
          <w:b/>
        </w:rPr>
        <w:t>ail:</w:t>
      </w:r>
    </w:p>
    <w:p w14:paraId="57284C12" w14:textId="77777777" w:rsidR="00E66264" w:rsidRPr="00F970BD" w:rsidRDefault="00405A0C" w:rsidP="007B1598">
      <w:pPr>
        <w:pStyle w:val="BodyText"/>
        <w:spacing w:before="240"/>
        <w:ind w:left="540"/>
        <w:jc w:val="left"/>
        <w:rPr>
          <w:rFonts w:ascii="Calibri" w:hAnsi="Calibri" w:cs="Calibri"/>
        </w:rPr>
      </w:pPr>
      <w:r w:rsidRPr="006D27F3">
        <w:rPr>
          <w:rFonts w:ascii="Calibri" w:hAnsi="Calibri" w:cs="Calibri"/>
          <w:b/>
        </w:rPr>
        <w:t>Note:</w:t>
      </w:r>
      <w:r w:rsidRPr="006D27F3">
        <w:rPr>
          <w:rFonts w:ascii="Calibri" w:hAnsi="Calibri" w:cs="Calibri"/>
        </w:rPr>
        <w:t xml:space="preserve"> </w:t>
      </w:r>
      <w:r w:rsidR="00E66264" w:rsidRPr="006D27F3">
        <w:rPr>
          <w:rFonts w:ascii="Calibri" w:hAnsi="Calibri" w:cs="Calibri"/>
        </w:rPr>
        <w:t xml:space="preserve">Even after email is deleted from an individual’s computer, it generally continues to exist on computer back-up tapes, which are also public records. A public body must make all non-exempt </w:t>
      </w:r>
      <w:r w:rsidR="00186BE4" w:rsidRPr="006D27F3">
        <w:rPr>
          <w:rFonts w:ascii="Calibri" w:hAnsi="Calibri" w:cs="Calibri"/>
        </w:rPr>
        <w:t>email</w:t>
      </w:r>
      <w:r w:rsidR="00E66264" w:rsidRPr="006D27F3">
        <w:rPr>
          <w:rFonts w:ascii="Calibri" w:hAnsi="Calibri" w:cs="Calibri"/>
        </w:rPr>
        <w:t>s available for inspection and copying regardless of their storage location.</w:t>
      </w:r>
    </w:p>
    <w:p w14:paraId="57284C13" w14:textId="77777777" w:rsidR="00C91C5B" w:rsidRPr="006D27F3" w:rsidRDefault="00A20469" w:rsidP="007B1598">
      <w:pPr>
        <w:pStyle w:val="BodyText"/>
        <w:spacing w:before="240"/>
        <w:ind w:left="1080"/>
        <w:jc w:val="left"/>
        <w:rPr>
          <w:rFonts w:ascii="Calibri" w:hAnsi="Calibri" w:cs="Calibri"/>
        </w:rPr>
      </w:pPr>
      <w:r w:rsidRPr="006F1E8C">
        <w:rPr>
          <w:rFonts w:ascii="Calibri" w:hAnsi="Calibri" w:cs="Calibri"/>
        </w:rPr>
        <w:t>A</w:t>
      </w:r>
      <w:r w:rsidR="00C91C5B" w:rsidRPr="006F1E8C">
        <w:rPr>
          <w:rFonts w:ascii="Calibri" w:hAnsi="Calibri" w:cs="Calibri"/>
        </w:rPr>
        <w:t>.</w:t>
      </w:r>
      <w:r w:rsidR="00C91C5B" w:rsidRPr="00194F15">
        <w:rPr>
          <w:rFonts w:ascii="Calibri" w:hAnsi="Calibri" w:cs="Calibri"/>
        </w:rPr>
        <w:t xml:space="preserve"> </w:t>
      </w:r>
      <w:r w:rsidR="00C91C5B" w:rsidRPr="007B1598">
        <w:rPr>
          <w:rFonts w:ascii="Calibri" w:hAnsi="Calibri" w:cs="Calibri"/>
          <w:b/>
        </w:rPr>
        <w:t xml:space="preserve">Official </w:t>
      </w:r>
      <w:r w:rsidR="00186BE4" w:rsidRPr="00F970BD">
        <w:rPr>
          <w:rFonts w:ascii="Calibri" w:hAnsi="Calibri" w:cs="Calibri"/>
          <w:b/>
        </w:rPr>
        <w:t>email</w:t>
      </w:r>
      <w:r w:rsidR="00C91C5B" w:rsidRPr="007B1598">
        <w:rPr>
          <w:rFonts w:ascii="Calibri" w:hAnsi="Calibri" w:cs="Calibri"/>
          <w:b/>
        </w:rPr>
        <w:t xml:space="preserve"> accounts:</w:t>
      </w:r>
      <w:r w:rsidR="00C91C5B" w:rsidRPr="00F970BD">
        <w:rPr>
          <w:rFonts w:ascii="Calibri" w:hAnsi="Calibri" w:cs="Calibri"/>
        </w:rPr>
        <w:t xml:space="preserve"> In most circumstances, emails sent to or from a state employee’s official </w:t>
      </w:r>
      <w:r w:rsidR="00186BE4" w:rsidRPr="00F970BD">
        <w:rPr>
          <w:rFonts w:ascii="Calibri" w:hAnsi="Calibri" w:cs="Calibri"/>
        </w:rPr>
        <w:t>email</w:t>
      </w:r>
      <w:r w:rsidR="00C91C5B" w:rsidRPr="00F970BD">
        <w:rPr>
          <w:rFonts w:ascii="Calibri" w:hAnsi="Calibri" w:cs="Calibri"/>
        </w:rPr>
        <w:t xml:space="preserve"> account will meet the definition of a public record. It is </w:t>
      </w:r>
      <w:r w:rsidR="00B2185F">
        <w:rPr>
          <w:rFonts w:ascii="Calibri" w:hAnsi="Calibri" w:cs="Calibri"/>
        </w:rPr>
        <w:t>[AGENCY]</w:t>
      </w:r>
      <w:r w:rsidR="00C91C5B" w:rsidRPr="00F970BD">
        <w:rPr>
          <w:rFonts w:ascii="Calibri" w:hAnsi="Calibri" w:cs="Calibri"/>
        </w:rPr>
        <w:t xml:space="preserve">’s policy that virtually all email messages composed or sent using an employee’s official equipment and/or official email address be for primarily business </w:t>
      </w:r>
      <w:r w:rsidR="00C91C5B" w:rsidRPr="006D27F3">
        <w:rPr>
          <w:rFonts w:ascii="Calibri" w:hAnsi="Calibri" w:cs="Calibri"/>
        </w:rPr>
        <w:t xml:space="preserve">purposes. Please refer to the </w:t>
      </w:r>
      <w:r w:rsidR="00B2185F">
        <w:rPr>
          <w:rFonts w:ascii="Calibri" w:hAnsi="Calibri" w:cs="Calibri"/>
        </w:rPr>
        <w:t>[AGENCY]</w:t>
      </w:r>
      <w:r w:rsidR="00A340BC" w:rsidRPr="006D27F3">
        <w:rPr>
          <w:rFonts w:ascii="Calibri" w:hAnsi="Calibri" w:cs="Calibri"/>
        </w:rPr>
        <w:t>’s</w:t>
      </w:r>
      <w:r w:rsidR="00C91C5B" w:rsidRPr="006D27F3">
        <w:rPr>
          <w:rFonts w:ascii="Calibri" w:hAnsi="Calibri" w:cs="Calibri"/>
        </w:rPr>
        <w:t xml:space="preserve"> Policy #4.200 Acceptable Use </w:t>
      </w:r>
      <w:r w:rsidR="00360672" w:rsidRPr="006D27F3">
        <w:rPr>
          <w:rFonts w:ascii="Calibri" w:hAnsi="Calibri" w:cs="Calibri"/>
        </w:rPr>
        <w:t xml:space="preserve">- </w:t>
      </w:r>
      <w:r w:rsidR="00B2185F">
        <w:rPr>
          <w:rFonts w:ascii="Calibri" w:hAnsi="Calibri" w:cs="Calibri"/>
        </w:rPr>
        <w:t>[AGENCY]</w:t>
      </w:r>
      <w:r w:rsidR="00360672" w:rsidRPr="006D27F3">
        <w:rPr>
          <w:rFonts w:ascii="Calibri" w:hAnsi="Calibri" w:cs="Calibri"/>
        </w:rPr>
        <w:t xml:space="preserve"> Information Systems, Office Equipment and Services.</w:t>
      </w:r>
    </w:p>
    <w:p w14:paraId="57284C14" w14:textId="77777777" w:rsidR="00405A0C" w:rsidRPr="006D27F3" w:rsidRDefault="00360672" w:rsidP="007B1598">
      <w:pPr>
        <w:pStyle w:val="BodyText"/>
        <w:spacing w:before="240"/>
        <w:ind w:left="1080"/>
        <w:jc w:val="left"/>
        <w:rPr>
          <w:rFonts w:ascii="Calibri" w:hAnsi="Calibri" w:cs="Calibri"/>
        </w:rPr>
      </w:pPr>
      <w:r w:rsidRPr="006D27F3">
        <w:rPr>
          <w:rFonts w:ascii="Calibri" w:hAnsi="Calibri" w:cs="Calibri"/>
        </w:rPr>
        <w:t xml:space="preserve">When the </w:t>
      </w:r>
      <w:r w:rsidR="00B2185F">
        <w:rPr>
          <w:rFonts w:ascii="Calibri" w:hAnsi="Calibri" w:cs="Calibri"/>
        </w:rPr>
        <w:t>[AGENCY]</w:t>
      </w:r>
      <w:r w:rsidRPr="006D27F3">
        <w:rPr>
          <w:rFonts w:ascii="Calibri" w:hAnsi="Calibri" w:cs="Calibri"/>
        </w:rPr>
        <w:t xml:space="preserve"> receives a public records request</w:t>
      </w:r>
      <w:r w:rsidR="00E66264" w:rsidRPr="006D27F3">
        <w:rPr>
          <w:rFonts w:ascii="Calibri" w:hAnsi="Calibri" w:cs="Calibri"/>
        </w:rPr>
        <w:t xml:space="preserve"> or valid subpoena</w:t>
      </w:r>
      <w:r w:rsidRPr="006D27F3">
        <w:rPr>
          <w:rFonts w:ascii="Calibri" w:hAnsi="Calibri" w:cs="Calibri"/>
        </w:rPr>
        <w:t xml:space="preserve">, all </w:t>
      </w:r>
      <w:r w:rsidR="00E66264" w:rsidRPr="006D27F3">
        <w:rPr>
          <w:rFonts w:ascii="Calibri" w:hAnsi="Calibri" w:cs="Calibri"/>
        </w:rPr>
        <w:t xml:space="preserve">state </w:t>
      </w:r>
      <w:r w:rsidRPr="006D27F3">
        <w:rPr>
          <w:rFonts w:ascii="Calibri" w:hAnsi="Calibri" w:cs="Calibri"/>
        </w:rPr>
        <w:t xml:space="preserve">email accounts and systems used for </w:t>
      </w:r>
      <w:r w:rsidR="00823904" w:rsidRPr="006D27F3">
        <w:rPr>
          <w:rFonts w:ascii="Calibri" w:hAnsi="Calibri" w:cs="Calibri"/>
        </w:rPr>
        <w:t xml:space="preserve">state or </w:t>
      </w:r>
      <w:r w:rsidR="00B2185F">
        <w:rPr>
          <w:rFonts w:ascii="Calibri" w:hAnsi="Calibri" w:cs="Calibri"/>
        </w:rPr>
        <w:t>[AGENCY]</w:t>
      </w:r>
      <w:r w:rsidRPr="006D27F3">
        <w:rPr>
          <w:rFonts w:ascii="Calibri" w:hAnsi="Calibri" w:cs="Calibri"/>
        </w:rPr>
        <w:t xml:space="preserve"> business are subject to search and production.</w:t>
      </w:r>
    </w:p>
    <w:p w14:paraId="57284C15" w14:textId="77777777" w:rsidR="00E66264" w:rsidRPr="006D27F3" w:rsidRDefault="00405A0C" w:rsidP="007B1598">
      <w:pPr>
        <w:pStyle w:val="BodyText"/>
        <w:spacing w:before="240"/>
        <w:ind w:left="1080"/>
        <w:jc w:val="left"/>
        <w:rPr>
          <w:rFonts w:ascii="Calibri" w:hAnsi="Calibri" w:cs="Calibri"/>
        </w:rPr>
      </w:pPr>
      <w:r w:rsidRPr="006D27F3">
        <w:rPr>
          <w:rFonts w:ascii="Calibri" w:hAnsi="Calibri" w:cs="Calibri"/>
          <w:b/>
        </w:rPr>
        <w:t>Note:</w:t>
      </w:r>
      <w:r w:rsidR="00E66264" w:rsidRPr="006D27F3">
        <w:rPr>
          <w:rFonts w:ascii="Calibri" w:hAnsi="Calibri" w:cs="Calibri"/>
        </w:rPr>
        <w:t xml:space="preserve"> Employees do not have any expectation of privacy with regard to state </w:t>
      </w:r>
      <w:r w:rsidR="00186BE4" w:rsidRPr="006D27F3">
        <w:rPr>
          <w:rFonts w:ascii="Calibri" w:hAnsi="Calibri" w:cs="Calibri"/>
        </w:rPr>
        <w:t>email</w:t>
      </w:r>
      <w:r w:rsidR="00E66264" w:rsidRPr="006D27F3">
        <w:rPr>
          <w:rFonts w:ascii="Calibri" w:hAnsi="Calibri" w:cs="Calibri"/>
        </w:rPr>
        <w:t xml:space="preserve"> accounts and systems.</w:t>
      </w:r>
    </w:p>
    <w:p w14:paraId="57284C16" w14:textId="77777777" w:rsidR="00405A0C" w:rsidRPr="006D27F3" w:rsidRDefault="00A20469" w:rsidP="007B1598">
      <w:pPr>
        <w:pStyle w:val="BodyText"/>
        <w:spacing w:before="240"/>
        <w:ind w:left="1080"/>
        <w:jc w:val="left"/>
        <w:rPr>
          <w:rFonts w:ascii="Calibri" w:hAnsi="Calibri" w:cs="Calibri"/>
          <w:b/>
        </w:rPr>
      </w:pPr>
      <w:r w:rsidRPr="006D27F3">
        <w:rPr>
          <w:rFonts w:ascii="Calibri" w:hAnsi="Calibri" w:cs="Calibri"/>
        </w:rPr>
        <w:t>B</w:t>
      </w:r>
      <w:r w:rsidR="00360672" w:rsidRPr="006D27F3">
        <w:rPr>
          <w:rFonts w:ascii="Calibri" w:hAnsi="Calibri" w:cs="Calibri"/>
        </w:rPr>
        <w:t xml:space="preserve">. </w:t>
      </w:r>
      <w:r w:rsidR="00360672" w:rsidRPr="006D27F3">
        <w:rPr>
          <w:rFonts w:ascii="Calibri" w:hAnsi="Calibri" w:cs="Calibri"/>
          <w:b/>
        </w:rPr>
        <w:t>Personal email accounts:</w:t>
      </w:r>
    </w:p>
    <w:p w14:paraId="57284C17" w14:textId="77777777" w:rsidR="00405A0C" w:rsidRPr="006D27F3" w:rsidRDefault="00405A0C" w:rsidP="007B1598">
      <w:pPr>
        <w:pStyle w:val="BodyText"/>
        <w:spacing w:before="240"/>
        <w:ind w:left="1080"/>
        <w:jc w:val="left"/>
        <w:rPr>
          <w:rFonts w:ascii="Calibri" w:hAnsi="Calibri" w:cs="Calibri"/>
        </w:rPr>
      </w:pPr>
      <w:r w:rsidRPr="006D27F3">
        <w:rPr>
          <w:rFonts w:ascii="Calibri" w:hAnsi="Calibri" w:cs="Calibri"/>
          <w:b/>
        </w:rPr>
        <w:t>Note:</w:t>
      </w:r>
      <w:r w:rsidR="00360672" w:rsidRPr="006D27F3">
        <w:rPr>
          <w:rFonts w:ascii="Calibri" w:hAnsi="Calibri" w:cs="Calibri"/>
        </w:rPr>
        <w:t xml:space="preserve"> </w:t>
      </w:r>
      <w:r w:rsidR="00E66264" w:rsidRPr="006D27F3">
        <w:rPr>
          <w:rFonts w:ascii="Calibri" w:hAnsi="Calibri" w:cs="Calibri"/>
        </w:rPr>
        <w:t xml:space="preserve">To the extent that </w:t>
      </w:r>
      <w:r w:rsidR="00B2185F">
        <w:rPr>
          <w:rFonts w:ascii="Calibri" w:hAnsi="Calibri" w:cs="Calibri"/>
        </w:rPr>
        <w:t>[AGENCY]</w:t>
      </w:r>
      <w:r w:rsidR="00E66264" w:rsidRPr="006D27F3">
        <w:rPr>
          <w:rFonts w:ascii="Calibri" w:hAnsi="Calibri" w:cs="Calibri"/>
        </w:rPr>
        <w:t xml:space="preserve"> employees use personal email addresses to communicate about </w:t>
      </w:r>
      <w:r w:rsidR="00823904" w:rsidRPr="006D27F3">
        <w:rPr>
          <w:rFonts w:ascii="Calibri" w:hAnsi="Calibri" w:cs="Calibri"/>
        </w:rPr>
        <w:t xml:space="preserve">state or </w:t>
      </w:r>
      <w:r w:rsidR="00B2185F">
        <w:rPr>
          <w:rFonts w:ascii="Calibri" w:hAnsi="Calibri" w:cs="Calibri"/>
        </w:rPr>
        <w:t>[AGENCY]</w:t>
      </w:r>
      <w:r w:rsidR="00E66264" w:rsidRPr="006D27F3">
        <w:rPr>
          <w:rFonts w:ascii="Calibri" w:hAnsi="Calibri" w:cs="Calibri"/>
        </w:rPr>
        <w:t xml:space="preserve"> business (to the extent that public records are associated with such addresses), those emails will be subject to search and production. </w:t>
      </w:r>
      <w:r w:rsidR="00B2185F">
        <w:rPr>
          <w:rFonts w:ascii="Calibri" w:hAnsi="Calibri" w:cs="Calibri"/>
        </w:rPr>
        <w:t>[AGENCY]</w:t>
      </w:r>
      <w:r w:rsidR="00E66264" w:rsidRPr="006D27F3">
        <w:rPr>
          <w:rFonts w:ascii="Calibri" w:hAnsi="Calibri" w:cs="Calibri"/>
        </w:rPr>
        <w:t xml:space="preserve"> employees are strongly encouraged to use only their state email accounts to communicate regarding </w:t>
      </w:r>
      <w:r w:rsidR="00823904" w:rsidRPr="006D27F3">
        <w:rPr>
          <w:rFonts w:ascii="Calibri" w:hAnsi="Calibri" w:cs="Calibri"/>
        </w:rPr>
        <w:t xml:space="preserve">state or </w:t>
      </w:r>
      <w:r w:rsidR="00B2185F">
        <w:rPr>
          <w:rFonts w:ascii="Calibri" w:hAnsi="Calibri" w:cs="Calibri"/>
        </w:rPr>
        <w:t>[AGENCY]</w:t>
      </w:r>
      <w:r w:rsidR="00E66264" w:rsidRPr="006D27F3">
        <w:rPr>
          <w:rFonts w:ascii="Calibri" w:hAnsi="Calibri" w:cs="Calibri"/>
        </w:rPr>
        <w:t xml:space="preserve"> business.</w:t>
      </w:r>
    </w:p>
    <w:p w14:paraId="57284C18" w14:textId="77777777" w:rsidR="00E66264" w:rsidRPr="00F970BD" w:rsidRDefault="00E66264" w:rsidP="007B1598">
      <w:pPr>
        <w:pStyle w:val="BodyText"/>
        <w:spacing w:before="240"/>
        <w:ind w:left="1080"/>
        <w:jc w:val="left"/>
        <w:rPr>
          <w:rFonts w:ascii="Calibri" w:hAnsi="Calibri" w:cs="Calibri"/>
        </w:rPr>
      </w:pPr>
      <w:r w:rsidRPr="006D27F3">
        <w:rPr>
          <w:rFonts w:ascii="Calibri" w:hAnsi="Calibri" w:cs="Calibri"/>
        </w:rPr>
        <w:t>If a private account must be used</w:t>
      </w:r>
      <w:r w:rsidR="00405A0C" w:rsidRPr="006D27F3">
        <w:rPr>
          <w:rFonts w:ascii="Calibri" w:hAnsi="Calibri" w:cs="Calibri"/>
        </w:rPr>
        <w:t xml:space="preserve"> to conduct state or </w:t>
      </w:r>
      <w:r w:rsidR="00B2185F">
        <w:rPr>
          <w:rFonts w:ascii="Calibri" w:hAnsi="Calibri" w:cs="Calibri"/>
        </w:rPr>
        <w:t>[AGENCY]</w:t>
      </w:r>
      <w:r w:rsidR="00405A0C" w:rsidRPr="006D27F3">
        <w:rPr>
          <w:rFonts w:ascii="Calibri" w:hAnsi="Calibri" w:cs="Calibri"/>
        </w:rPr>
        <w:t xml:space="preserve"> business</w:t>
      </w:r>
      <w:r w:rsidRPr="00F970BD">
        <w:rPr>
          <w:rFonts w:ascii="Calibri" w:hAnsi="Calibri" w:cs="Calibri"/>
        </w:rPr>
        <w:t xml:space="preserve">, </w:t>
      </w:r>
      <w:r w:rsidR="00405A0C">
        <w:rPr>
          <w:rFonts w:ascii="Calibri" w:hAnsi="Calibri" w:cs="Calibri"/>
        </w:rPr>
        <w:t xml:space="preserve">the </w:t>
      </w:r>
      <w:r w:rsidR="00B2185F">
        <w:rPr>
          <w:rFonts w:ascii="Calibri" w:hAnsi="Calibri" w:cs="Calibri"/>
        </w:rPr>
        <w:t>[AGENCY]</w:t>
      </w:r>
      <w:r w:rsidR="00405A0C">
        <w:rPr>
          <w:rFonts w:ascii="Calibri" w:hAnsi="Calibri" w:cs="Calibri"/>
        </w:rPr>
        <w:t xml:space="preserve"> requires </w:t>
      </w:r>
      <w:r w:rsidRPr="00F970BD">
        <w:rPr>
          <w:rFonts w:ascii="Calibri" w:hAnsi="Calibri" w:cs="Calibri"/>
        </w:rPr>
        <w:t>that employees copy their state email accounts on all such outgoing communications and forward any received messages to their state email accounts if their state email account was not copied</w:t>
      </w:r>
      <w:r w:rsidR="00BC6089">
        <w:rPr>
          <w:rFonts w:ascii="Calibri" w:hAnsi="Calibri" w:cs="Calibri"/>
        </w:rPr>
        <w:t xml:space="preserve"> immediately or as soon as practicably possible</w:t>
      </w:r>
      <w:r w:rsidRPr="00F970BD">
        <w:rPr>
          <w:rFonts w:ascii="Calibri" w:hAnsi="Calibri" w:cs="Calibri"/>
        </w:rPr>
        <w:t>.</w:t>
      </w:r>
    </w:p>
    <w:p w14:paraId="57284C19" w14:textId="77777777" w:rsidR="00E66264" w:rsidRPr="00F970BD" w:rsidRDefault="00A20469" w:rsidP="007B1598">
      <w:pPr>
        <w:pStyle w:val="BodyText"/>
        <w:spacing w:before="240"/>
        <w:ind w:left="1080"/>
        <w:jc w:val="left"/>
        <w:rPr>
          <w:rFonts w:ascii="Calibri" w:hAnsi="Calibri" w:cs="Calibri"/>
        </w:rPr>
      </w:pPr>
      <w:r w:rsidRPr="006F1E8C">
        <w:rPr>
          <w:rFonts w:ascii="Calibri" w:hAnsi="Calibri" w:cs="Calibri"/>
        </w:rPr>
        <w:t>C</w:t>
      </w:r>
      <w:r w:rsidR="007B060C" w:rsidRPr="006F1E8C">
        <w:rPr>
          <w:rFonts w:ascii="Calibri" w:hAnsi="Calibri" w:cs="Calibri"/>
        </w:rPr>
        <w:t>.</w:t>
      </w:r>
      <w:r w:rsidR="00E66264" w:rsidRPr="00194F15">
        <w:rPr>
          <w:rFonts w:ascii="Calibri" w:hAnsi="Calibri" w:cs="Calibri"/>
        </w:rPr>
        <w:t xml:space="preserve"> </w:t>
      </w:r>
      <w:r w:rsidR="00E66264" w:rsidRPr="00F970BD">
        <w:rPr>
          <w:rFonts w:ascii="Calibri" w:hAnsi="Calibri" w:cs="Calibri"/>
          <w:b/>
        </w:rPr>
        <w:t>Instant Messages:</w:t>
      </w:r>
      <w:r w:rsidR="00E66264" w:rsidRPr="00F970BD">
        <w:rPr>
          <w:rFonts w:ascii="Calibri" w:hAnsi="Calibri" w:cs="Calibri"/>
        </w:rPr>
        <w:t xml:space="preserve"> The </w:t>
      </w:r>
      <w:r w:rsidR="00B2185F">
        <w:rPr>
          <w:rFonts w:ascii="Calibri" w:hAnsi="Calibri" w:cs="Calibri"/>
        </w:rPr>
        <w:t>[AGENCY]</w:t>
      </w:r>
      <w:r w:rsidR="00E66264" w:rsidRPr="00F970BD">
        <w:rPr>
          <w:rFonts w:ascii="Calibri" w:hAnsi="Calibri" w:cs="Calibri"/>
        </w:rPr>
        <w:t>’s policy regarding instant messages is the same as for text messages.</w:t>
      </w:r>
    </w:p>
    <w:p w14:paraId="57284C1A" w14:textId="77777777" w:rsidR="00E66264" w:rsidRPr="006D27F3" w:rsidRDefault="00A20469" w:rsidP="007B1598">
      <w:pPr>
        <w:pStyle w:val="BodyText"/>
        <w:spacing w:before="240"/>
        <w:ind w:left="1080"/>
        <w:jc w:val="left"/>
        <w:rPr>
          <w:rFonts w:ascii="Calibri" w:hAnsi="Calibri" w:cs="Calibri"/>
        </w:rPr>
      </w:pPr>
      <w:r w:rsidRPr="006D27F3">
        <w:rPr>
          <w:rFonts w:ascii="Calibri" w:hAnsi="Calibri" w:cs="Calibri"/>
        </w:rPr>
        <w:t>D</w:t>
      </w:r>
      <w:r w:rsidR="00E66264" w:rsidRPr="006D27F3">
        <w:rPr>
          <w:rFonts w:ascii="Calibri" w:hAnsi="Calibri" w:cs="Calibri"/>
        </w:rPr>
        <w:t xml:space="preserve">. </w:t>
      </w:r>
      <w:r w:rsidR="00E66264" w:rsidRPr="006D27F3">
        <w:rPr>
          <w:rFonts w:ascii="Calibri" w:hAnsi="Calibri" w:cs="Calibri"/>
          <w:b/>
        </w:rPr>
        <w:t>Social media:</w:t>
      </w:r>
      <w:r w:rsidR="00E66264" w:rsidRPr="006D27F3">
        <w:rPr>
          <w:rFonts w:ascii="Calibri" w:hAnsi="Calibri" w:cs="Calibri"/>
        </w:rPr>
        <w:t xml:space="preserve"> Any records placed on any social media platform by the </w:t>
      </w:r>
      <w:r w:rsidR="00B2185F">
        <w:rPr>
          <w:rFonts w:ascii="Calibri" w:hAnsi="Calibri" w:cs="Calibri"/>
        </w:rPr>
        <w:t>[AGENCY]</w:t>
      </w:r>
      <w:r w:rsidR="00E66264" w:rsidRPr="006D27F3">
        <w:rPr>
          <w:rFonts w:ascii="Calibri" w:hAnsi="Calibri" w:cs="Calibri"/>
        </w:rPr>
        <w:t xml:space="preserve"> must be an accurate copy of an official record that is retained elsewhere by the </w:t>
      </w:r>
      <w:r w:rsidR="00B2185F">
        <w:rPr>
          <w:rFonts w:ascii="Calibri" w:hAnsi="Calibri" w:cs="Calibri"/>
        </w:rPr>
        <w:t>[AGENCY]</w:t>
      </w:r>
      <w:r w:rsidR="00E66264" w:rsidRPr="006D27F3">
        <w:rPr>
          <w:rFonts w:ascii="Calibri" w:hAnsi="Calibri" w:cs="Calibri"/>
        </w:rPr>
        <w:t xml:space="preserve"> per its </w:t>
      </w:r>
      <w:r w:rsidR="00405A0C" w:rsidRPr="006D27F3">
        <w:rPr>
          <w:rFonts w:ascii="Calibri" w:hAnsi="Calibri" w:cs="Calibri"/>
        </w:rPr>
        <w:t xml:space="preserve">records </w:t>
      </w:r>
      <w:r w:rsidR="00E66264" w:rsidRPr="006D27F3">
        <w:rPr>
          <w:rFonts w:ascii="Calibri" w:hAnsi="Calibri" w:cs="Calibri"/>
        </w:rPr>
        <w:t xml:space="preserve">retention schedules. Records placed on any social media platform are assumed to not be owned by the </w:t>
      </w:r>
      <w:r w:rsidR="00B2185F">
        <w:rPr>
          <w:rFonts w:ascii="Calibri" w:hAnsi="Calibri" w:cs="Calibri"/>
        </w:rPr>
        <w:t>[AGENCY]</w:t>
      </w:r>
      <w:r w:rsidR="00E66264" w:rsidRPr="006D27F3">
        <w:rPr>
          <w:rFonts w:ascii="Calibri" w:hAnsi="Calibri" w:cs="Calibri"/>
        </w:rPr>
        <w:t xml:space="preserve">. Comments or re-posting of content placed on any social media platform by the </w:t>
      </w:r>
      <w:r w:rsidR="00B2185F">
        <w:rPr>
          <w:rFonts w:ascii="Calibri" w:hAnsi="Calibri" w:cs="Calibri"/>
        </w:rPr>
        <w:t>[AGENCY]</w:t>
      </w:r>
      <w:r w:rsidR="00E66264" w:rsidRPr="006D27F3">
        <w:rPr>
          <w:rFonts w:ascii="Calibri" w:hAnsi="Calibri" w:cs="Calibri"/>
        </w:rPr>
        <w:t xml:space="preserve"> - when such comments or re-postings themselves appear on a social media platform - are assumed to not be prepared, owned, used, or retained by the </w:t>
      </w:r>
      <w:r w:rsidR="00B2185F">
        <w:rPr>
          <w:rFonts w:ascii="Calibri" w:hAnsi="Calibri" w:cs="Calibri"/>
        </w:rPr>
        <w:t>[AGENCY]</w:t>
      </w:r>
      <w:r w:rsidR="00E66264" w:rsidRPr="006D27F3">
        <w:rPr>
          <w:rFonts w:ascii="Calibri" w:hAnsi="Calibri" w:cs="Calibri"/>
        </w:rPr>
        <w:t>, and will not be retained.</w:t>
      </w:r>
    </w:p>
    <w:p w14:paraId="57284C1B" w14:textId="77777777" w:rsidR="00E66264" w:rsidRPr="00F970BD" w:rsidRDefault="00405A0C" w:rsidP="007B1598">
      <w:pPr>
        <w:pStyle w:val="BodyText"/>
        <w:spacing w:before="240"/>
        <w:ind w:left="1080"/>
        <w:jc w:val="left"/>
        <w:rPr>
          <w:rFonts w:ascii="Calibri" w:hAnsi="Calibri" w:cs="Calibri"/>
        </w:rPr>
      </w:pPr>
      <w:r w:rsidRPr="006D27F3">
        <w:rPr>
          <w:rFonts w:ascii="Calibri" w:hAnsi="Calibri" w:cs="Calibri"/>
          <w:b/>
        </w:rPr>
        <w:t>Note:</w:t>
      </w:r>
      <w:r w:rsidRPr="006D27F3">
        <w:rPr>
          <w:rFonts w:ascii="Calibri" w:hAnsi="Calibri" w:cs="Calibri"/>
        </w:rPr>
        <w:t xml:space="preserve"> </w:t>
      </w:r>
      <w:r w:rsidR="00E66264" w:rsidRPr="006D27F3">
        <w:rPr>
          <w:rFonts w:ascii="Calibri" w:hAnsi="Calibri" w:cs="Calibri"/>
        </w:rPr>
        <w:t xml:space="preserve">Should the </w:t>
      </w:r>
      <w:r w:rsidR="00B2185F">
        <w:rPr>
          <w:rFonts w:ascii="Calibri" w:hAnsi="Calibri" w:cs="Calibri"/>
        </w:rPr>
        <w:t>[AGENCY]</w:t>
      </w:r>
      <w:r w:rsidR="00E66264" w:rsidRPr="006D27F3">
        <w:rPr>
          <w:rFonts w:ascii="Calibri" w:hAnsi="Calibri" w:cs="Calibri"/>
        </w:rPr>
        <w:t xml:space="preserve"> choose to copy into its own internal files any such comments or re-postings, such copy is a public record and will be retained by the </w:t>
      </w:r>
      <w:r w:rsidR="00B2185F">
        <w:rPr>
          <w:rFonts w:ascii="Calibri" w:hAnsi="Calibri" w:cs="Calibri"/>
        </w:rPr>
        <w:t>[AGENCY]</w:t>
      </w:r>
      <w:r w:rsidR="00E66264" w:rsidRPr="006D27F3">
        <w:rPr>
          <w:rFonts w:ascii="Calibri" w:hAnsi="Calibri" w:cs="Calibri"/>
        </w:rPr>
        <w:t xml:space="preserve"> per its records retention schedules.</w:t>
      </w:r>
    </w:p>
    <w:p w14:paraId="57284C1C" w14:textId="77777777" w:rsidR="007B060C" w:rsidRPr="00F970BD" w:rsidRDefault="00E66264" w:rsidP="007B1598">
      <w:pPr>
        <w:pStyle w:val="BodyText"/>
        <w:spacing w:before="240"/>
        <w:ind w:left="1080"/>
        <w:jc w:val="left"/>
        <w:rPr>
          <w:rFonts w:ascii="Calibri" w:hAnsi="Calibri" w:cs="Calibri"/>
        </w:rPr>
      </w:pPr>
      <w:r w:rsidRPr="00F970BD">
        <w:rPr>
          <w:rFonts w:ascii="Calibri" w:hAnsi="Calibri" w:cs="Calibri"/>
        </w:rPr>
        <w:t xml:space="preserve">The </w:t>
      </w:r>
      <w:r w:rsidR="00B2185F">
        <w:rPr>
          <w:rFonts w:ascii="Calibri" w:hAnsi="Calibri" w:cs="Calibri"/>
        </w:rPr>
        <w:t>[AGENCY]</w:t>
      </w:r>
      <w:r w:rsidRPr="00F970BD">
        <w:rPr>
          <w:rFonts w:ascii="Calibri" w:hAnsi="Calibri" w:cs="Calibri"/>
        </w:rPr>
        <w:t xml:space="preserve"> will develop practices and procedures to manage the </w:t>
      </w:r>
      <w:r w:rsidR="00B2185F">
        <w:rPr>
          <w:rFonts w:ascii="Calibri" w:hAnsi="Calibri" w:cs="Calibri"/>
        </w:rPr>
        <w:t>[AGENCY]</w:t>
      </w:r>
      <w:r w:rsidRPr="00F970BD">
        <w:rPr>
          <w:rFonts w:ascii="Calibri" w:hAnsi="Calibri" w:cs="Calibri"/>
        </w:rPr>
        <w:t>’s use of social media to ensure public records are accurately captured and retained per its records retention schedules</w:t>
      </w:r>
    </w:p>
    <w:p w14:paraId="57284C1D" w14:textId="77777777" w:rsidR="00496F77" w:rsidRPr="007B1598" w:rsidRDefault="00A20469" w:rsidP="007B1598">
      <w:pPr>
        <w:pStyle w:val="BodyText"/>
        <w:spacing w:before="240"/>
        <w:ind w:left="1080"/>
        <w:jc w:val="left"/>
        <w:rPr>
          <w:rFonts w:ascii="Calibri" w:hAnsi="Calibri" w:cs="Calibri"/>
        </w:rPr>
      </w:pPr>
      <w:r w:rsidRPr="006F1E8C">
        <w:rPr>
          <w:rFonts w:ascii="Calibri" w:hAnsi="Calibri" w:cs="Calibri"/>
        </w:rPr>
        <w:t>E</w:t>
      </w:r>
      <w:r w:rsidR="00E66264" w:rsidRPr="006F1E8C">
        <w:rPr>
          <w:rFonts w:ascii="Calibri" w:hAnsi="Calibri" w:cs="Calibri"/>
        </w:rPr>
        <w:t xml:space="preserve">. </w:t>
      </w:r>
      <w:r w:rsidR="00E66264" w:rsidRPr="007B1598">
        <w:rPr>
          <w:rFonts w:ascii="Calibri" w:hAnsi="Calibri" w:cs="Calibri"/>
          <w:b/>
        </w:rPr>
        <w:t>Text messages:</w:t>
      </w:r>
    </w:p>
    <w:p w14:paraId="57284C1E" w14:textId="77777777" w:rsidR="00E66264" w:rsidRPr="007B1598" w:rsidRDefault="00496F77" w:rsidP="007B1598">
      <w:pPr>
        <w:pStyle w:val="BodyText"/>
        <w:spacing w:before="240"/>
        <w:ind w:left="1080"/>
        <w:jc w:val="left"/>
        <w:rPr>
          <w:rFonts w:ascii="Calibri" w:hAnsi="Calibri" w:cs="Calibri"/>
        </w:rPr>
      </w:pPr>
      <w:r w:rsidRPr="006D27F3">
        <w:rPr>
          <w:rFonts w:ascii="Calibri" w:hAnsi="Calibri" w:cs="Calibri"/>
          <w:b/>
        </w:rPr>
        <w:t>Acceptable use:</w:t>
      </w:r>
      <w:r w:rsidRPr="006D27F3">
        <w:rPr>
          <w:rFonts w:ascii="Calibri" w:hAnsi="Calibri" w:cs="Calibri"/>
        </w:rPr>
        <w:t xml:space="preserve"> </w:t>
      </w:r>
      <w:r w:rsidR="00E66264" w:rsidRPr="006D27F3">
        <w:rPr>
          <w:rFonts w:ascii="Calibri" w:hAnsi="Calibri" w:cs="Calibri"/>
        </w:rPr>
        <w:t xml:space="preserve">The </w:t>
      </w:r>
      <w:r w:rsidR="00B2185F">
        <w:rPr>
          <w:rFonts w:ascii="Calibri" w:hAnsi="Calibri" w:cs="Calibri"/>
        </w:rPr>
        <w:t>[AGENCY]</w:t>
      </w:r>
      <w:r w:rsidR="00E66264" w:rsidRPr="006D27F3">
        <w:rPr>
          <w:rFonts w:ascii="Calibri" w:hAnsi="Calibri" w:cs="Calibri"/>
        </w:rPr>
        <w:t xml:space="preserve"> </w:t>
      </w:r>
      <w:r w:rsidR="00736B03" w:rsidRPr="006D27F3">
        <w:rPr>
          <w:rFonts w:ascii="Calibri" w:hAnsi="Calibri" w:cs="Calibri"/>
        </w:rPr>
        <w:t xml:space="preserve">expects employees to make every effort to avoid sending text messages that include substantive discussions of state or </w:t>
      </w:r>
      <w:r w:rsidR="00B2185F">
        <w:rPr>
          <w:rFonts w:ascii="Calibri" w:hAnsi="Calibri" w:cs="Calibri"/>
        </w:rPr>
        <w:t>[AGENCY]</w:t>
      </w:r>
      <w:r w:rsidR="00736B03" w:rsidRPr="006D27F3">
        <w:rPr>
          <w:rFonts w:ascii="Calibri" w:hAnsi="Calibri" w:cs="Calibri"/>
        </w:rPr>
        <w:t xml:space="preserve"> business that meet the definition of a public record.</w:t>
      </w:r>
    </w:p>
    <w:p w14:paraId="57284C1F" w14:textId="77777777" w:rsidR="00E66264" w:rsidRPr="007B1598" w:rsidRDefault="00E66264" w:rsidP="007B1598">
      <w:pPr>
        <w:pStyle w:val="BodyText"/>
        <w:spacing w:before="240"/>
        <w:ind w:left="1080"/>
        <w:jc w:val="left"/>
        <w:rPr>
          <w:rFonts w:ascii="Calibri" w:hAnsi="Calibri" w:cs="Calibri"/>
        </w:rPr>
      </w:pPr>
      <w:r w:rsidRPr="007B1598">
        <w:rPr>
          <w:rFonts w:ascii="Calibri" w:hAnsi="Calibri" w:cs="Calibri"/>
        </w:rPr>
        <w:t>Examples of acceptable use include</w:t>
      </w:r>
      <w:r w:rsidR="004710EE">
        <w:rPr>
          <w:rFonts w:ascii="Calibri" w:hAnsi="Calibri" w:cs="Calibri"/>
        </w:rPr>
        <w:t>,</w:t>
      </w:r>
      <w:r w:rsidR="00736B03">
        <w:rPr>
          <w:rFonts w:ascii="Calibri" w:hAnsi="Calibri" w:cs="Calibri"/>
        </w:rPr>
        <w:t xml:space="preserve"> but are not limited to</w:t>
      </w:r>
      <w:r w:rsidRPr="007B1598">
        <w:rPr>
          <w:rFonts w:ascii="Calibri" w:hAnsi="Calibri" w:cs="Calibri"/>
        </w:rPr>
        <w:t>:</w:t>
      </w:r>
    </w:p>
    <w:p w14:paraId="57284C20" w14:textId="77777777" w:rsidR="00E66264" w:rsidRPr="007B1598" w:rsidRDefault="00E66264" w:rsidP="007B1598">
      <w:pPr>
        <w:pStyle w:val="BodyText"/>
        <w:numPr>
          <w:ilvl w:val="0"/>
          <w:numId w:val="9"/>
        </w:numPr>
        <w:tabs>
          <w:tab w:val="left" w:pos="1980"/>
        </w:tabs>
        <w:spacing w:before="240"/>
        <w:ind w:left="1980" w:hanging="540"/>
        <w:jc w:val="left"/>
        <w:rPr>
          <w:rFonts w:ascii="Calibri" w:hAnsi="Calibri" w:cs="Calibri"/>
        </w:rPr>
      </w:pPr>
      <w:r w:rsidRPr="007B1598">
        <w:rPr>
          <w:rFonts w:ascii="Calibri" w:hAnsi="Calibri" w:cs="Calibri"/>
        </w:rPr>
        <w:t>Scheduling</w:t>
      </w:r>
    </w:p>
    <w:p w14:paraId="57284C21" w14:textId="77777777" w:rsidR="00E66264" w:rsidRPr="007B1598" w:rsidRDefault="00E66264" w:rsidP="007B1598">
      <w:pPr>
        <w:pStyle w:val="BodyText"/>
        <w:numPr>
          <w:ilvl w:val="0"/>
          <w:numId w:val="9"/>
        </w:numPr>
        <w:tabs>
          <w:tab w:val="left" w:pos="1980"/>
        </w:tabs>
        <w:ind w:left="1980" w:hanging="540"/>
        <w:jc w:val="left"/>
        <w:rPr>
          <w:rFonts w:ascii="Calibri" w:hAnsi="Calibri" w:cs="Calibri"/>
        </w:rPr>
      </w:pPr>
      <w:r w:rsidRPr="007B1598">
        <w:rPr>
          <w:rFonts w:ascii="Calibri" w:hAnsi="Calibri" w:cs="Calibri"/>
        </w:rPr>
        <w:t>Requesting a call or email on a matter, without substantive discussion</w:t>
      </w:r>
    </w:p>
    <w:p w14:paraId="57284C22" w14:textId="77777777" w:rsidR="00E66264" w:rsidRPr="007B1598" w:rsidRDefault="00E66264" w:rsidP="007B1598">
      <w:pPr>
        <w:pStyle w:val="BodyText"/>
        <w:numPr>
          <w:ilvl w:val="0"/>
          <w:numId w:val="9"/>
        </w:numPr>
        <w:tabs>
          <w:tab w:val="left" w:pos="1980"/>
        </w:tabs>
        <w:ind w:left="1980" w:hanging="540"/>
        <w:jc w:val="left"/>
        <w:rPr>
          <w:rFonts w:ascii="Calibri" w:hAnsi="Calibri" w:cs="Calibri"/>
        </w:rPr>
      </w:pPr>
      <w:r w:rsidRPr="007B1598">
        <w:rPr>
          <w:rFonts w:ascii="Calibri" w:hAnsi="Calibri" w:cs="Calibri"/>
        </w:rPr>
        <w:t>Requesting or offering logistical assistance</w:t>
      </w:r>
      <w:r w:rsidR="00496F77" w:rsidRPr="007B1598">
        <w:rPr>
          <w:rFonts w:ascii="Calibri" w:hAnsi="Calibri" w:cs="Calibri"/>
        </w:rPr>
        <w:t xml:space="preserve"> (“Can you help me get these boxes to the courthouse?)</w:t>
      </w:r>
    </w:p>
    <w:p w14:paraId="57284C23" w14:textId="77777777" w:rsidR="00E66264" w:rsidRPr="007B1598" w:rsidRDefault="00E66264" w:rsidP="007B1598">
      <w:pPr>
        <w:pStyle w:val="BodyText"/>
        <w:numPr>
          <w:ilvl w:val="0"/>
          <w:numId w:val="9"/>
        </w:numPr>
        <w:tabs>
          <w:tab w:val="left" w:pos="1980"/>
        </w:tabs>
        <w:ind w:left="1980" w:hanging="540"/>
        <w:jc w:val="left"/>
        <w:rPr>
          <w:rFonts w:ascii="Calibri" w:hAnsi="Calibri" w:cs="Calibri"/>
        </w:rPr>
      </w:pPr>
      <w:r w:rsidRPr="007B1598">
        <w:rPr>
          <w:rFonts w:ascii="Calibri" w:hAnsi="Calibri" w:cs="Calibri"/>
        </w:rPr>
        <w:t>Forwarding a person’s contact information</w:t>
      </w:r>
    </w:p>
    <w:p w14:paraId="57284C24" w14:textId="77777777" w:rsidR="00E66264" w:rsidRPr="007B1598" w:rsidRDefault="00E66264" w:rsidP="007B1598">
      <w:pPr>
        <w:pStyle w:val="BodyText"/>
        <w:numPr>
          <w:ilvl w:val="0"/>
          <w:numId w:val="9"/>
        </w:numPr>
        <w:tabs>
          <w:tab w:val="left" w:pos="1980"/>
        </w:tabs>
        <w:ind w:left="1980" w:hanging="540"/>
        <w:jc w:val="left"/>
        <w:rPr>
          <w:rFonts w:ascii="Calibri" w:hAnsi="Calibri" w:cs="Calibri"/>
        </w:rPr>
      </w:pPr>
      <w:r w:rsidRPr="007B1598">
        <w:rPr>
          <w:rFonts w:ascii="Calibri" w:hAnsi="Calibri" w:cs="Calibri"/>
        </w:rPr>
        <w:t>Explaining a person’s current whereabouts, or inquiring about someone else</w:t>
      </w:r>
      <w:r w:rsidR="00496F77" w:rsidRPr="007B1598">
        <w:rPr>
          <w:rFonts w:ascii="Calibri" w:hAnsi="Calibri" w:cs="Calibri"/>
        </w:rPr>
        <w:t>’</w:t>
      </w:r>
      <w:r w:rsidRPr="007B1598">
        <w:rPr>
          <w:rFonts w:ascii="Calibri" w:hAnsi="Calibri" w:cs="Calibri"/>
        </w:rPr>
        <w:t>s</w:t>
      </w:r>
    </w:p>
    <w:p w14:paraId="57284C25" w14:textId="77777777" w:rsidR="00E66264" w:rsidRPr="00414289" w:rsidRDefault="00E66264" w:rsidP="00414289">
      <w:pPr>
        <w:pStyle w:val="BodyText"/>
        <w:numPr>
          <w:ilvl w:val="0"/>
          <w:numId w:val="9"/>
        </w:numPr>
        <w:tabs>
          <w:tab w:val="left" w:pos="1980"/>
        </w:tabs>
        <w:ind w:left="1980" w:hanging="540"/>
        <w:jc w:val="left"/>
        <w:rPr>
          <w:rFonts w:ascii="Calibri" w:hAnsi="Calibri" w:cs="Calibri"/>
        </w:rPr>
      </w:pPr>
      <w:r w:rsidRPr="00414289">
        <w:rPr>
          <w:rFonts w:ascii="Calibri" w:hAnsi="Calibri" w:cs="Calibri"/>
        </w:rPr>
        <w:t xml:space="preserve">Describing </w:t>
      </w:r>
      <w:r w:rsidR="00736B03" w:rsidRPr="00414289">
        <w:rPr>
          <w:rFonts w:ascii="Calibri" w:hAnsi="Calibri" w:cs="Calibri"/>
        </w:rPr>
        <w:t xml:space="preserve">or inquiring about </w:t>
      </w:r>
      <w:r w:rsidRPr="00414289">
        <w:rPr>
          <w:rFonts w:ascii="Calibri" w:hAnsi="Calibri" w:cs="Calibri"/>
        </w:rPr>
        <w:t xml:space="preserve">facts or events that do not relate to </w:t>
      </w:r>
      <w:r w:rsidR="00823904" w:rsidRPr="00414289">
        <w:rPr>
          <w:rFonts w:ascii="Calibri" w:hAnsi="Calibri" w:cs="Calibri"/>
        </w:rPr>
        <w:t xml:space="preserve">state or </w:t>
      </w:r>
      <w:r w:rsidR="00B2185F">
        <w:rPr>
          <w:rFonts w:ascii="Calibri" w:hAnsi="Calibri" w:cs="Calibri"/>
        </w:rPr>
        <w:t>[AGENCY]</w:t>
      </w:r>
      <w:r w:rsidRPr="00414289">
        <w:rPr>
          <w:rFonts w:ascii="Calibri" w:hAnsi="Calibri" w:cs="Calibri"/>
        </w:rPr>
        <w:t xml:space="preserve"> business</w:t>
      </w:r>
    </w:p>
    <w:p w14:paraId="57284C26" w14:textId="77777777" w:rsidR="00E66264" w:rsidRDefault="00736B03" w:rsidP="007B1598">
      <w:pPr>
        <w:pStyle w:val="BodyText"/>
        <w:numPr>
          <w:ilvl w:val="0"/>
          <w:numId w:val="9"/>
        </w:numPr>
        <w:tabs>
          <w:tab w:val="left" w:pos="1980"/>
        </w:tabs>
        <w:ind w:left="1980" w:hanging="540"/>
        <w:jc w:val="left"/>
        <w:rPr>
          <w:rFonts w:ascii="Calibri" w:hAnsi="Calibri" w:cs="Calibri"/>
        </w:rPr>
      </w:pPr>
      <w:r>
        <w:rPr>
          <w:rFonts w:ascii="Calibri" w:hAnsi="Calibri" w:cs="Calibri"/>
        </w:rPr>
        <w:t xml:space="preserve">Discussing facts or </w:t>
      </w:r>
      <w:r w:rsidR="00E66264" w:rsidRPr="007B1598">
        <w:rPr>
          <w:rFonts w:ascii="Calibri" w:hAnsi="Calibri" w:cs="Calibri"/>
        </w:rPr>
        <w:t xml:space="preserve">events that do relate to </w:t>
      </w:r>
      <w:r w:rsidR="00823904">
        <w:rPr>
          <w:rFonts w:ascii="Calibri" w:hAnsi="Calibri" w:cs="Calibri"/>
        </w:rPr>
        <w:t xml:space="preserve">state or </w:t>
      </w:r>
      <w:r w:rsidR="00B2185F">
        <w:rPr>
          <w:rFonts w:ascii="Calibri" w:hAnsi="Calibri" w:cs="Calibri"/>
        </w:rPr>
        <w:t>[AGENCY]</w:t>
      </w:r>
      <w:r w:rsidR="00E66264" w:rsidRPr="007B1598">
        <w:rPr>
          <w:rFonts w:ascii="Calibri" w:hAnsi="Calibri" w:cs="Calibri"/>
        </w:rPr>
        <w:t xml:space="preserve"> businesses</w:t>
      </w:r>
      <w:r>
        <w:rPr>
          <w:rFonts w:ascii="Calibri" w:hAnsi="Calibri" w:cs="Calibri"/>
        </w:rPr>
        <w:t xml:space="preserve"> </w:t>
      </w:r>
      <w:r w:rsidR="00414289">
        <w:rPr>
          <w:rFonts w:ascii="Calibri" w:hAnsi="Calibri" w:cs="Calibri"/>
        </w:rPr>
        <w:t xml:space="preserve">that have been or </w:t>
      </w:r>
      <w:r>
        <w:rPr>
          <w:rFonts w:ascii="Calibri" w:hAnsi="Calibri" w:cs="Calibri"/>
        </w:rPr>
        <w:t>will be separately recorded</w:t>
      </w:r>
    </w:p>
    <w:p w14:paraId="57284C27" w14:textId="77777777" w:rsidR="007E11C1" w:rsidRPr="007B1598" w:rsidRDefault="007E11C1" w:rsidP="00414289">
      <w:pPr>
        <w:pStyle w:val="BodyText"/>
        <w:numPr>
          <w:ilvl w:val="0"/>
          <w:numId w:val="9"/>
        </w:numPr>
        <w:tabs>
          <w:tab w:val="left" w:pos="1980"/>
        </w:tabs>
        <w:ind w:left="1980" w:hanging="540"/>
        <w:jc w:val="left"/>
        <w:rPr>
          <w:rFonts w:ascii="Calibri" w:hAnsi="Calibri" w:cs="Calibri"/>
        </w:rPr>
      </w:pPr>
      <w:r>
        <w:rPr>
          <w:rFonts w:ascii="Calibri" w:hAnsi="Calibri" w:cs="Calibri"/>
        </w:rPr>
        <w:t xml:space="preserve">Information that is part of or related to conducting state or </w:t>
      </w:r>
      <w:r w:rsidR="00B2185F">
        <w:rPr>
          <w:rFonts w:ascii="Calibri" w:hAnsi="Calibri" w:cs="Calibri"/>
        </w:rPr>
        <w:t>[AGENCY]</w:t>
      </w:r>
      <w:r>
        <w:rPr>
          <w:rFonts w:ascii="Calibri" w:hAnsi="Calibri" w:cs="Calibri"/>
        </w:rPr>
        <w:t xml:space="preserve"> business only if that information has been documented elsewhere; or will be documented and retained as a separate public record </w:t>
      </w:r>
      <w:r w:rsidRPr="007E11C1">
        <w:rPr>
          <w:rFonts w:ascii="Calibri" w:hAnsi="Calibri" w:cs="Calibri"/>
        </w:rPr>
        <w:t>such as by forwarding the relevant text message to an em</w:t>
      </w:r>
      <w:r w:rsidR="00414289">
        <w:rPr>
          <w:rFonts w:ascii="Calibri" w:hAnsi="Calibri" w:cs="Calibri"/>
        </w:rPr>
        <w:t>ployee’s official email account</w:t>
      </w:r>
    </w:p>
    <w:p w14:paraId="57284C28" w14:textId="77777777" w:rsidR="00414289" w:rsidRPr="006D27F3" w:rsidRDefault="00414289" w:rsidP="00414289">
      <w:pPr>
        <w:pStyle w:val="BodyText"/>
        <w:spacing w:before="240"/>
        <w:ind w:left="1080"/>
        <w:jc w:val="left"/>
        <w:rPr>
          <w:rFonts w:ascii="Calibri" w:hAnsi="Calibri" w:cs="Calibri"/>
        </w:rPr>
      </w:pPr>
      <w:r w:rsidRPr="006D27F3">
        <w:rPr>
          <w:rFonts w:ascii="Calibri" w:hAnsi="Calibri" w:cs="Calibri"/>
          <w:b/>
        </w:rPr>
        <w:t>Recording text messages as public records:</w:t>
      </w:r>
      <w:r w:rsidRPr="006D27F3">
        <w:rPr>
          <w:rFonts w:ascii="Calibri" w:hAnsi="Calibri" w:cs="Calibri"/>
        </w:rPr>
        <w:t xml:space="preserve"> While the </w:t>
      </w:r>
      <w:r w:rsidR="00B2185F">
        <w:rPr>
          <w:rFonts w:ascii="Calibri" w:hAnsi="Calibri" w:cs="Calibri"/>
        </w:rPr>
        <w:t>[AGENCY]</w:t>
      </w:r>
      <w:r w:rsidRPr="006D27F3">
        <w:rPr>
          <w:rFonts w:ascii="Calibri" w:hAnsi="Calibri" w:cs="Calibri"/>
        </w:rPr>
        <w:t xml:space="preserve"> discourages employees from using texting for state or </w:t>
      </w:r>
      <w:r w:rsidR="00B2185F">
        <w:rPr>
          <w:rFonts w:ascii="Calibri" w:hAnsi="Calibri" w:cs="Calibri"/>
        </w:rPr>
        <w:t>[AGENCY]</w:t>
      </w:r>
      <w:r w:rsidRPr="006D27F3">
        <w:rPr>
          <w:rFonts w:ascii="Calibri" w:hAnsi="Calibri" w:cs="Calibri"/>
        </w:rPr>
        <w:t xml:space="preserve"> business, there are time when it may be unavoidable. If an employee creates such a text message on a </w:t>
      </w:r>
      <w:r w:rsidR="00B2185F">
        <w:rPr>
          <w:rFonts w:ascii="Calibri" w:hAnsi="Calibri" w:cs="Calibri"/>
        </w:rPr>
        <w:t>[AGENCY]</w:t>
      </w:r>
      <w:r w:rsidRPr="006D27F3">
        <w:rPr>
          <w:rFonts w:ascii="Calibri" w:hAnsi="Calibri" w:cs="Calibri"/>
        </w:rPr>
        <w:t xml:space="preserve"> or personal device, it must be documented and retained elsewhere as a separate and official copy of the public record.</w:t>
      </w:r>
    </w:p>
    <w:p w14:paraId="57284C29" w14:textId="77777777" w:rsidR="004B5296" w:rsidRDefault="007E11C1" w:rsidP="007B1598">
      <w:pPr>
        <w:pStyle w:val="BodyText"/>
        <w:spacing w:before="240"/>
        <w:ind w:left="1080"/>
        <w:jc w:val="left"/>
        <w:rPr>
          <w:rFonts w:ascii="Calibri" w:hAnsi="Calibri" w:cs="Calibri"/>
        </w:rPr>
      </w:pPr>
      <w:r w:rsidRPr="006D27F3">
        <w:rPr>
          <w:rFonts w:ascii="Calibri" w:hAnsi="Calibri" w:cs="Calibri"/>
          <w:b/>
        </w:rPr>
        <w:t>Personal devices:</w:t>
      </w:r>
      <w:r w:rsidRPr="006D27F3">
        <w:rPr>
          <w:rFonts w:ascii="Calibri" w:hAnsi="Calibri" w:cs="Calibri"/>
        </w:rPr>
        <w:t xml:space="preserve"> The </w:t>
      </w:r>
      <w:r w:rsidR="00B2185F">
        <w:rPr>
          <w:rFonts w:ascii="Calibri" w:hAnsi="Calibri" w:cs="Calibri"/>
        </w:rPr>
        <w:t>[AGENCY]</w:t>
      </w:r>
      <w:r w:rsidR="004B5296" w:rsidRPr="006D27F3">
        <w:rPr>
          <w:rFonts w:ascii="Calibri" w:hAnsi="Calibri" w:cs="Calibri"/>
        </w:rPr>
        <w:t xml:space="preserve"> </w:t>
      </w:r>
      <w:r w:rsidRPr="006D27F3">
        <w:rPr>
          <w:rFonts w:ascii="Calibri" w:hAnsi="Calibri" w:cs="Calibri"/>
        </w:rPr>
        <w:t xml:space="preserve">discourages </w:t>
      </w:r>
      <w:r w:rsidR="004B5296" w:rsidRPr="006D27F3">
        <w:rPr>
          <w:rFonts w:ascii="Calibri" w:hAnsi="Calibri" w:cs="Calibri"/>
        </w:rPr>
        <w:t xml:space="preserve">employees </w:t>
      </w:r>
      <w:r w:rsidRPr="006D27F3">
        <w:rPr>
          <w:rFonts w:ascii="Calibri" w:hAnsi="Calibri" w:cs="Calibri"/>
        </w:rPr>
        <w:t xml:space="preserve">from using </w:t>
      </w:r>
      <w:r w:rsidR="004B5296" w:rsidRPr="006D27F3">
        <w:rPr>
          <w:rFonts w:ascii="Calibri" w:hAnsi="Calibri" w:cs="Calibri"/>
        </w:rPr>
        <w:t xml:space="preserve">their personal electronic devices to transmit </w:t>
      </w:r>
      <w:r w:rsidR="000F525F" w:rsidRPr="006D27F3">
        <w:rPr>
          <w:rFonts w:ascii="Calibri" w:hAnsi="Calibri" w:cs="Calibri"/>
        </w:rPr>
        <w:t>t</w:t>
      </w:r>
      <w:r w:rsidR="004B5296" w:rsidRPr="006D27F3">
        <w:rPr>
          <w:rFonts w:ascii="Calibri" w:hAnsi="Calibri" w:cs="Calibri"/>
        </w:rPr>
        <w:t xml:space="preserve">ext messages related to state or </w:t>
      </w:r>
      <w:r w:rsidR="00B2185F">
        <w:rPr>
          <w:rFonts w:ascii="Calibri" w:hAnsi="Calibri" w:cs="Calibri"/>
        </w:rPr>
        <w:t>[AGENCY]</w:t>
      </w:r>
      <w:r w:rsidR="004B5296" w:rsidRPr="006D27F3">
        <w:rPr>
          <w:rFonts w:ascii="Calibri" w:hAnsi="Calibri" w:cs="Calibri"/>
        </w:rPr>
        <w:t xml:space="preserve"> business</w:t>
      </w:r>
      <w:r w:rsidRPr="006D27F3">
        <w:rPr>
          <w:rFonts w:ascii="Calibri" w:hAnsi="Calibri" w:cs="Calibri"/>
        </w:rPr>
        <w:t xml:space="preserve">, and warns </w:t>
      </w:r>
      <w:r w:rsidR="004B5296" w:rsidRPr="006D27F3">
        <w:rPr>
          <w:rFonts w:ascii="Calibri" w:hAnsi="Calibri" w:cs="Calibri"/>
        </w:rPr>
        <w:t xml:space="preserve">employees </w:t>
      </w:r>
      <w:r w:rsidRPr="006D27F3">
        <w:rPr>
          <w:rFonts w:ascii="Calibri" w:hAnsi="Calibri" w:cs="Calibri"/>
        </w:rPr>
        <w:t xml:space="preserve">that their </w:t>
      </w:r>
      <w:r w:rsidR="004B5296" w:rsidRPr="006D27F3">
        <w:rPr>
          <w:rFonts w:ascii="Calibri" w:hAnsi="Calibri" w:cs="Calibri"/>
        </w:rPr>
        <w:t xml:space="preserve">personal device </w:t>
      </w:r>
      <w:r w:rsidRPr="006D27F3">
        <w:rPr>
          <w:rFonts w:ascii="Calibri" w:hAnsi="Calibri" w:cs="Calibri"/>
        </w:rPr>
        <w:t xml:space="preserve">could be </w:t>
      </w:r>
      <w:r w:rsidR="004B5296" w:rsidRPr="006D27F3">
        <w:rPr>
          <w:rFonts w:ascii="Calibri" w:hAnsi="Calibri" w:cs="Calibri"/>
        </w:rPr>
        <w:t xml:space="preserve">subject to search if used to text messages regarding state or </w:t>
      </w:r>
      <w:r w:rsidR="00B2185F">
        <w:rPr>
          <w:rFonts w:ascii="Calibri" w:hAnsi="Calibri" w:cs="Calibri"/>
        </w:rPr>
        <w:t>[AGENCY]</w:t>
      </w:r>
      <w:r w:rsidR="004B5296" w:rsidRPr="006D27F3">
        <w:rPr>
          <w:rFonts w:ascii="Calibri" w:hAnsi="Calibri" w:cs="Calibri"/>
        </w:rPr>
        <w:t xml:space="preserve"> business or information that rises to the level of creating a public record</w:t>
      </w:r>
      <w:r w:rsidR="000F525F" w:rsidRPr="006D27F3">
        <w:rPr>
          <w:rFonts w:ascii="Calibri" w:hAnsi="Calibri" w:cs="Calibri"/>
        </w:rPr>
        <w:t>.</w:t>
      </w:r>
    </w:p>
    <w:p w14:paraId="57284C2A" w14:textId="77777777" w:rsidR="000F525F" w:rsidRPr="00F970BD" w:rsidRDefault="00A20469" w:rsidP="007B1598">
      <w:pPr>
        <w:pStyle w:val="BodyText"/>
        <w:spacing w:before="240"/>
        <w:ind w:left="1080"/>
        <w:jc w:val="left"/>
        <w:rPr>
          <w:rFonts w:ascii="Calibri" w:hAnsi="Calibri" w:cs="Calibri"/>
        </w:rPr>
      </w:pPr>
      <w:r w:rsidRPr="006F1E8C">
        <w:rPr>
          <w:rFonts w:ascii="Calibri" w:hAnsi="Calibri" w:cs="Calibri"/>
        </w:rPr>
        <w:t>F</w:t>
      </w:r>
      <w:r w:rsidR="000F525F" w:rsidRPr="006F1E8C">
        <w:rPr>
          <w:rFonts w:ascii="Calibri" w:hAnsi="Calibri" w:cs="Calibri"/>
        </w:rPr>
        <w:t>.</w:t>
      </w:r>
      <w:r w:rsidR="000F525F" w:rsidRPr="00A76111">
        <w:rPr>
          <w:rFonts w:ascii="Calibri" w:hAnsi="Calibri" w:cs="Calibri"/>
        </w:rPr>
        <w:t xml:space="preserve"> </w:t>
      </w:r>
      <w:r w:rsidR="000F525F" w:rsidRPr="007B1598">
        <w:rPr>
          <w:rFonts w:ascii="Calibri" w:hAnsi="Calibri" w:cs="Calibri"/>
          <w:b/>
        </w:rPr>
        <w:t xml:space="preserve">Unified </w:t>
      </w:r>
      <w:r w:rsidR="00A340BC">
        <w:rPr>
          <w:rFonts w:ascii="Calibri" w:hAnsi="Calibri" w:cs="Calibri"/>
          <w:b/>
        </w:rPr>
        <w:t>c</w:t>
      </w:r>
      <w:r w:rsidR="000F525F" w:rsidRPr="007B1598">
        <w:rPr>
          <w:rFonts w:ascii="Calibri" w:hAnsi="Calibri" w:cs="Calibri"/>
          <w:b/>
        </w:rPr>
        <w:t>ommunications:</w:t>
      </w:r>
      <w:r w:rsidR="000F525F" w:rsidRPr="00F970BD">
        <w:rPr>
          <w:rFonts w:ascii="Calibri" w:hAnsi="Calibri" w:cs="Calibri"/>
        </w:rPr>
        <w:t xml:space="preserve"> The </w:t>
      </w:r>
      <w:r w:rsidR="00B2185F">
        <w:rPr>
          <w:rFonts w:ascii="Calibri" w:hAnsi="Calibri" w:cs="Calibri"/>
        </w:rPr>
        <w:t>[AGENCY]</w:t>
      </w:r>
      <w:r w:rsidR="000F525F" w:rsidRPr="00F970BD">
        <w:rPr>
          <w:rFonts w:ascii="Calibri" w:hAnsi="Calibri" w:cs="Calibri"/>
        </w:rPr>
        <w:t xml:space="preserve"> will identify public records created by actively using </w:t>
      </w:r>
      <w:r w:rsidR="00A340BC">
        <w:rPr>
          <w:rFonts w:ascii="Calibri" w:hAnsi="Calibri" w:cs="Calibri"/>
        </w:rPr>
        <w:t>u</w:t>
      </w:r>
      <w:r w:rsidR="000F525F" w:rsidRPr="00F970BD">
        <w:rPr>
          <w:rFonts w:ascii="Calibri" w:hAnsi="Calibri" w:cs="Calibri"/>
        </w:rPr>
        <w:t xml:space="preserve">nified </w:t>
      </w:r>
      <w:r w:rsidR="00A340BC">
        <w:rPr>
          <w:rFonts w:ascii="Calibri" w:hAnsi="Calibri" w:cs="Calibri"/>
        </w:rPr>
        <w:t>c</w:t>
      </w:r>
      <w:r w:rsidR="000F525F" w:rsidRPr="00F970BD">
        <w:rPr>
          <w:rFonts w:ascii="Calibri" w:hAnsi="Calibri" w:cs="Calibri"/>
        </w:rPr>
        <w:t xml:space="preserve">ommunications features and will ensure that those records are appropriately managed in accordance with </w:t>
      </w:r>
      <w:r w:rsidR="00405A0C">
        <w:rPr>
          <w:rFonts w:ascii="Calibri" w:hAnsi="Calibri" w:cs="Calibri"/>
        </w:rPr>
        <w:t xml:space="preserve">the </w:t>
      </w:r>
      <w:r w:rsidR="00B2185F">
        <w:rPr>
          <w:rFonts w:ascii="Calibri" w:hAnsi="Calibri" w:cs="Calibri"/>
        </w:rPr>
        <w:t>[AGENCY]</w:t>
      </w:r>
      <w:r w:rsidR="00405A0C">
        <w:rPr>
          <w:rFonts w:ascii="Calibri" w:hAnsi="Calibri" w:cs="Calibri"/>
        </w:rPr>
        <w:t xml:space="preserve">’s </w:t>
      </w:r>
      <w:r w:rsidR="000F525F" w:rsidRPr="00F970BD">
        <w:rPr>
          <w:rFonts w:ascii="Calibri" w:hAnsi="Calibri" w:cs="Calibri"/>
        </w:rPr>
        <w:t>records retention schedules as well as state and federal law and policy.</w:t>
      </w:r>
    </w:p>
    <w:p w14:paraId="57284C2B" w14:textId="77777777" w:rsidR="000F525F" w:rsidRPr="00F970BD" w:rsidRDefault="00B2185F" w:rsidP="007B1598">
      <w:pPr>
        <w:pStyle w:val="BodyText"/>
        <w:spacing w:before="240"/>
        <w:ind w:left="1080"/>
        <w:jc w:val="left"/>
        <w:rPr>
          <w:rFonts w:ascii="Calibri" w:hAnsi="Calibri" w:cs="Calibri"/>
        </w:rPr>
      </w:pPr>
      <w:r>
        <w:rPr>
          <w:rFonts w:ascii="Calibri" w:hAnsi="Calibri" w:cs="Calibri"/>
        </w:rPr>
        <w:t>[AGENCY]</w:t>
      </w:r>
      <w:r w:rsidR="000F525F" w:rsidRPr="00F970BD">
        <w:rPr>
          <w:rFonts w:ascii="Calibri" w:hAnsi="Calibri" w:cs="Calibri"/>
        </w:rPr>
        <w:t xml:space="preserve"> will implement appropriate practices and procedures to accurately capture public records created by the use of active Unified Communications features.</w:t>
      </w:r>
    </w:p>
    <w:p w14:paraId="57284C2C" w14:textId="77777777" w:rsidR="000F525F" w:rsidRPr="007B1598" w:rsidRDefault="00A20469" w:rsidP="007B1598">
      <w:pPr>
        <w:pStyle w:val="BodyText"/>
        <w:spacing w:before="240"/>
        <w:ind w:left="1080"/>
        <w:jc w:val="left"/>
        <w:rPr>
          <w:rFonts w:ascii="Calibri" w:hAnsi="Calibri" w:cs="Calibri"/>
        </w:rPr>
      </w:pPr>
      <w:r w:rsidRPr="006F1E8C">
        <w:rPr>
          <w:rFonts w:ascii="Calibri" w:hAnsi="Calibri" w:cs="Calibri"/>
        </w:rPr>
        <w:t>G</w:t>
      </w:r>
      <w:r w:rsidR="000F525F" w:rsidRPr="006F1E8C">
        <w:rPr>
          <w:rFonts w:ascii="Calibri" w:hAnsi="Calibri" w:cs="Calibri"/>
        </w:rPr>
        <w:t>.</w:t>
      </w:r>
      <w:r w:rsidR="000F525F" w:rsidRPr="00A76111">
        <w:rPr>
          <w:rFonts w:ascii="Calibri" w:hAnsi="Calibri" w:cs="Calibri"/>
        </w:rPr>
        <w:t xml:space="preserve"> </w:t>
      </w:r>
      <w:r w:rsidR="000F525F" w:rsidRPr="007B1598">
        <w:rPr>
          <w:rFonts w:ascii="Calibri" w:hAnsi="Calibri" w:cs="Calibri"/>
          <w:b/>
        </w:rPr>
        <w:t>Voice mail:</w:t>
      </w:r>
      <w:r w:rsidR="000F525F" w:rsidRPr="00F970BD">
        <w:rPr>
          <w:rFonts w:ascii="Calibri" w:hAnsi="Calibri" w:cs="Calibri"/>
        </w:rPr>
        <w:t xml:space="preserve"> Unless otherwise required, the </w:t>
      </w:r>
      <w:r w:rsidR="00B2185F">
        <w:rPr>
          <w:rFonts w:ascii="Calibri" w:hAnsi="Calibri" w:cs="Calibri"/>
        </w:rPr>
        <w:t>[AGENCY]</w:t>
      </w:r>
      <w:r w:rsidR="000F525F" w:rsidRPr="00F970BD">
        <w:rPr>
          <w:rFonts w:ascii="Calibri" w:hAnsi="Calibri" w:cs="Calibri"/>
        </w:rPr>
        <w:t xml:space="preserve"> will not retain messages received on voice mail. Any email transcription of a voice mail that is determined to be a public record will be retained in accordance with its retention schedules and may be subject to public disclosure upon request.</w:t>
      </w:r>
    </w:p>
    <w:p w14:paraId="57284C2D" w14:textId="77777777" w:rsidR="00C91C5B" w:rsidRPr="00F970BD" w:rsidRDefault="000F525F" w:rsidP="007B1598">
      <w:pPr>
        <w:pStyle w:val="BodyText"/>
        <w:spacing w:before="240"/>
        <w:jc w:val="left"/>
        <w:rPr>
          <w:rFonts w:ascii="Calibri" w:hAnsi="Calibri" w:cs="Calibri"/>
        </w:rPr>
      </w:pPr>
      <w:r w:rsidRPr="006F1E8C">
        <w:rPr>
          <w:rFonts w:ascii="Calibri" w:hAnsi="Calibri" w:cs="Calibri"/>
        </w:rPr>
        <w:t>7.</w:t>
      </w:r>
      <w:r w:rsidRPr="00A76111">
        <w:rPr>
          <w:rFonts w:ascii="Calibri" w:hAnsi="Calibri" w:cs="Calibri"/>
        </w:rPr>
        <w:t xml:space="preserve"> </w:t>
      </w:r>
      <w:r w:rsidRPr="007B1598">
        <w:rPr>
          <w:rFonts w:ascii="Calibri" w:hAnsi="Calibri" w:cs="Calibri"/>
          <w:b/>
        </w:rPr>
        <w:t>Storage and retrieval:</w:t>
      </w:r>
    </w:p>
    <w:p w14:paraId="57284C2E" w14:textId="77777777" w:rsidR="004B5296" w:rsidRPr="00F970BD" w:rsidRDefault="00A20469" w:rsidP="007B1598">
      <w:pPr>
        <w:pStyle w:val="BodyText"/>
        <w:spacing w:before="240"/>
        <w:ind w:left="540"/>
        <w:jc w:val="left"/>
        <w:rPr>
          <w:rFonts w:ascii="Calibri" w:hAnsi="Calibri" w:cs="Calibri"/>
        </w:rPr>
      </w:pPr>
      <w:r w:rsidRPr="006F1E8C">
        <w:rPr>
          <w:rFonts w:ascii="Calibri" w:hAnsi="Calibri" w:cs="Calibri"/>
        </w:rPr>
        <w:t>a</w:t>
      </w:r>
      <w:r w:rsidR="000F525F" w:rsidRPr="006F1E8C">
        <w:rPr>
          <w:rFonts w:ascii="Calibri" w:hAnsi="Calibri" w:cs="Calibri"/>
        </w:rPr>
        <w:t>.</w:t>
      </w:r>
      <w:r w:rsidR="000F525F" w:rsidRPr="00A76111">
        <w:rPr>
          <w:rFonts w:ascii="Calibri" w:hAnsi="Calibri" w:cs="Calibri"/>
        </w:rPr>
        <w:t xml:space="preserve"> </w:t>
      </w:r>
      <w:r w:rsidR="000F525F" w:rsidRPr="007B1598">
        <w:rPr>
          <w:rFonts w:ascii="Calibri" w:hAnsi="Calibri" w:cs="Calibri"/>
          <w:b/>
        </w:rPr>
        <w:t>Paper records:</w:t>
      </w:r>
      <w:r w:rsidR="000F525F" w:rsidRPr="00F970BD">
        <w:rPr>
          <w:rFonts w:ascii="Calibri" w:hAnsi="Calibri" w:cs="Calibri"/>
        </w:rPr>
        <w:t xml:space="preserve"> The </w:t>
      </w:r>
      <w:r w:rsidR="00B2185F">
        <w:rPr>
          <w:rFonts w:ascii="Calibri" w:hAnsi="Calibri" w:cs="Calibri"/>
        </w:rPr>
        <w:t>[AGENCY]</w:t>
      </w:r>
      <w:r w:rsidR="000F525F" w:rsidRPr="00F970BD">
        <w:rPr>
          <w:rFonts w:ascii="Calibri" w:hAnsi="Calibri" w:cs="Calibri"/>
        </w:rPr>
        <w:t xml:space="preserve"> will maintain a filing system of the </w:t>
      </w:r>
      <w:r w:rsidR="00B2185F">
        <w:rPr>
          <w:rFonts w:ascii="Calibri" w:hAnsi="Calibri" w:cs="Calibri"/>
        </w:rPr>
        <w:t>[AGENCY]</w:t>
      </w:r>
      <w:r w:rsidR="000F525F" w:rsidRPr="00F970BD">
        <w:rPr>
          <w:rFonts w:ascii="Calibri" w:hAnsi="Calibri" w:cs="Calibri"/>
        </w:rPr>
        <w:t xml:space="preserve">’s paper records based on its </w:t>
      </w:r>
      <w:r w:rsidR="00405A0C">
        <w:rPr>
          <w:rFonts w:ascii="Calibri" w:hAnsi="Calibri" w:cs="Calibri"/>
        </w:rPr>
        <w:t xml:space="preserve">records </w:t>
      </w:r>
      <w:r w:rsidR="000F525F" w:rsidRPr="00F970BD">
        <w:rPr>
          <w:rFonts w:ascii="Calibri" w:hAnsi="Calibri" w:cs="Calibri"/>
        </w:rPr>
        <w:t xml:space="preserve">retention schedules. The filing system will include the location of the records, retention periods, and procedures for retrieval to ensure accessibility of </w:t>
      </w:r>
      <w:r w:rsidR="00B2185F">
        <w:rPr>
          <w:rFonts w:ascii="Calibri" w:hAnsi="Calibri" w:cs="Calibri"/>
        </w:rPr>
        <w:t>[AGENCY]</w:t>
      </w:r>
      <w:r w:rsidR="000F525F" w:rsidRPr="00F970BD">
        <w:rPr>
          <w:rFonts w:ascii="Calibri" w:hAnsi="Calibri" w:cs="Calibri"/>
        </w:rPr>
        <w:t xml:space="preserve"> records.</w:t>
      </w:r>
    </w:p>
    <w:p w14:paraId="57284C2F" w14:textId="77777777" w:rsidR="000F525F" w:rsidRPr="00F970BD" w:rsidRDefault="00A20469" w:rsidP="007B1598">
      <w:pPr>
        <w:pStyle w:val="BodyText"/>
        <w:spacing w:before="240"/>
        <w:ind w:left="540"/>
        <w:jc w:val="left"/>
        <w:rPr>
          <w:rFonts w:ascii="Calibri" w:hAnsi="Calibri" w:cs="Calibri"/>
        </w:rPr>
      </w:pPr>
      <w:r w:rsidRPr="006F1E8C">
        <w:rPr>
          <w:rFonts w:ascii="Calibri" w:hAnsi="Calibri" w:cs="Calibri"/>
        </w:rPr>
        <w:t>b</w:t>
      </w:r>
      <w:r w:rsidR="000F525F" w:rsidRPr="006F1E8C">
        <w:rPr>
          <w:rFonts w:ascii="Calibri" w:hAnsi="Calibri" w:cs="Calibri"/>
        </w:rPr>
        <w:t>.</w:t>
      </w:r>
      <w:r w:rsidR="000F525F" w:rsidRPr="00A76111">
        <w:rPr>
          <w:rFonts w:ascii="Calibri" w:hAnsi="Calibri" w:cs="Calibri"/>
        </w:rPr>
        <w:t xml:space="preserve"> </w:t>
      </w:r>
      <w:r w:rsidR="000F525F" w:rsidRPr="007B1598">
        <w:rPr>
          <w:rFonts w:ascii="Calibri" w:hAnsi="Calibri" w:cs="Calibri"/>
          <w:b/>
        </w:rPr>
        <w:t>Electronic records:</w:t>
      </w:r>
      <w:r w:rsidR="000F525F" w:rsidRPr="00F970BD">
        <w:rPr>
          <w:rFonts w:ascii="Calibri" w:hAnsi="Calibri" w:cs="Calibri"/>
        </w:rPr>
        <w:t xml:space="preserve"> The </w:t>
      </w:r>
      <w:r w:rsidR="00B2185F">
        <w:rPr>
          <w:rFonts w:ascii="Calibri" w:hAnsi="Calibri" w:cs="Calibri"/>
        </w:rPr>
        <w:t>[AGENCY]</w:t>
      </w:r>
      <w:r w:rsidR="000F525F" w:rsidRPr="00F970BD">
        <w:rPr>
          <w:rFonts w:ascii="Calibri" w:hAnsi="Calibri" w:cs="Calibri"/>
        </w:rPr>
        <w:t xml:space="preserve"> will maintain a filing system and naming conventions for all </w:t>
      </w:r>
      <w:r w:rsidR="00B2185F">
        <w:rPr>
          <w:rFonts w:ascii="Calibri" w:hAnsi="Calibri" w:cs="Calibri"/>
        </w:rPr>
        <w:t>[AGENCY]</w:t>
      </w:r>
      <w:r w:rsidR="000F525F" w:rsidRPr="00F970BD">
        <w:rPr>
          <w:rFonts w:ascii="Calibri" w:hAnsi="Calibri" w:cs="Calibri"/>
        </w:rPr>
        <w:t xml:space="preserve"> records stored in electronic format based on the </w:t>
      </w:r>
      <w:r w:rsidR="00B2185F">
        <w:rPr>
          <w:rFonts w:ascii="Calibri" w:hAnsi="Calibri" w:cs="Calibri"/>
        </w:rPr>
        <w:t>[AGENCY]</w:t>
      </w:r>
      <w:r w:rsidR="00405A0C">
        <w:rPr>
          <w:rFonts w:ascii="Calibri" w:hAnsi="Calibri" w:cs="Calibri"/>
        </w:rPr>
        <w:t>’s</w:t>
      </w:r>
      <w:r w:rsidR="000F525F" w:rsidRPr="00F970BD">
        <w:rPr>
          <w:rFonts w:ascii="Calibri" w:hAnsi="Calibri" w:cs="Calibri"/>
        </w:rPr>
        <w:t xml:space="preserve"> </w:t>
      </w:r>
      <w:r w:rsidR="00405A0C">
        <w:rPr>
          <w:rFonts w:ascii="Calibri" w:hAnsi="Calibri" w:cs="Calibri"/>
        </w:rPr>
        <w:t xml:space="preserve">records </w:t>
      </w:r>
      <w:r w:rsidR="000F525F" w:rsidRPr="00F970BD">
        <w:rPr>
          <w:rFonts w:ascii="Calibri" w:hAnsi="Calibri" w:cs="Calibri"/>
        </w:rPr>
        <w:t xml:space="preserve">retention schedules. The filing system and naming conventions will include the location of records in </w:t>
      </w:r>
      <w:r w:rsidR="00B2185F">
        <w:rPr>
          <w:rFonts w:ascii="Calibri" w:hAnsi="Calibri" w:cs="Calibri"/>
        </w:rPr>
        <w:t>[AGENCY]</w:t>
      </w:r>
      <w:r w:rsidR="000F525F" w:rsidRPr="00F970BD">
        <w:rPr>
          <w:rFonts w:ascii="Calibri" w:hAnsi="Calibri" w:cs="Calibri"/>
        </w:rPr>
        <w:t xml:space="preserve"> directories, retention periods, access controls, and privacy conditions to support management of the </w:t>
      </w:r>
      <w:r w:rsidR="00B2185F">
        <w:rPr>
          <w:rFonts w:ascii="Calibri" w:hAnsi="Calibri" w:cs="Calibri"/>
        </w:rPr>
        <w:t>[AGENCY]</w:t>
      </w:r>
      <w:r w:rsidR="000F525F" w:rsidRPr="00F970BD">
        <w:rPr>
          <w:rFonts w:ascii="Calibri" w:hAnsi="Calibri" w:cs="Calibri"/>
        </w:rPr>
        <w:t>’s inventory of electronic records.</w:t>
      </w:r>
    </w:p>
    <w:p w14:paraId="57284C30" w14:textId="77777777" w:rsidR="00BF52AD" w:rsidRPr="00F970BD" w:rsidRDefault="00B2185F" w:rsidP="007B1598">
      <w:pPr>
        <w:pStyle w:val="BodyText"/>
        <w:spacing w:before="240"/>
        <w:jc w:val="left"/>
        <w:rPr>
          <w:rFonts w:ascii="Calibri" w:hAnsi="Calibri" w:cs="Calibri"/>
        </w:rPr>
      </w:pPr>
      <w:r>
        <w:rPr>
          <w:rFonts w:ascii="Calibri" w:hAnsi="Calibri" w:cs="Calibri"/>
        </w:rPr>
        <w:t>[AGENCY]</w:t>
      </w:r>
      <w:r w:rsidR="00BF52AD" w:rsidRPr="00F970BD">
        <w:rPr>
          <w:rFonts w:ascii="Calibri" w:hAnsi="Calibri" w:cs="Calibri"/>
        </w:rPr>
        <w:t xml:space="preserve"> will work with the State Archivist to ensure that the retention periods for all records have been met before any data is destroyed and prior to deleting any large electronic records system.</w:t>
      </w:r>
    </w:p>
    <w:p w14:paraId="57284C31" w14:textId="77777777" w:rsidR="00BF52AD" w:rsidRPr="00F970BD" w:rsidRDefault="00BF52AD" w:rsidP="007B1598">
      <w:pPr>
        <w:pStyle w:val="BodyText"/>
        <w:spacing w:before="240"/>
        <w:jc w:val="left"/>
        <w:rPr>
          <w:rFonts w:ascii="Calibri" w:hAnsi="Calibri" w:cs="Calibri"/>
        </w:rPr>
      </w:pPr>
      <w:r w:rsidRPr="006F1E8C">
        <w:rPr>
          <w:rFonts w:ascii="Calibri" w:hAnsi="Calibri" w:cs="Calibri"/>
        </w:rPr>
        <w:t>8.</w:t>
      </w:r>
      <w:r w:rsidRPr="00A76111">
        <w:rPr>
          <w:rFonts w:ascii="Calibri" w:hAnsi="Calibri" w:cs="Calibri"/>
        </w:rPr>
        <w:t xml:space="preserve"> </w:t>
      </w:r>
      <w:r w:rsidRPr="007B1598">
        <w:rPr>
          <w:rFonts w:ascii="Calibri" w:hAnsi="Calibri" w:cs="Calibri"/>
          <w:b/>
        </w:rPr>
        <w:t>Public records requests:</w:t>
      </w:r>
    </w:p>
    <w:p w14:paraId="57284C32" w14:textId="77777777" w:rsidR="003C6B8D" w:rsidRPr="006D27F3" w:rsidRDefault="00BF52AD" w:rsidP="00BF52AD">
      <w:pPr>
        <w:spacing w:before="240"/>
        <w:rPr>
          <w:rFonts w:ascii="Calibri" w:hAnsi="Calibri" w:cs="Calibri"/>
        </w:rPr>
      </w:pPr>
      <w:r w:rsidRPr="006D27F3">
        <w:rPr>
          <w:rFonts w:ascii="Calibri" w:hAnsi="Calibri" w:cs="Calibri"/>
        </w:rPr>
        <w:t xml:space="preserve">Under ORS 192.420, every person has a right to inspect any non-exempt public record of a public body in Oregon. The Oregon State </w:t>
      </w:r>
      <w:r w:rsidR="00B2185F">
        <w:rPr>
          <w:rFonts w:ascii="Calibri" w:hAnsi="Calibri" w:cs="Calibri"/>
        </w:rPr>
        <w:t>[AGENCY]</w:t>
      </w:r>
      <w:r w:rsidRPr="006D27F3">
        <w:rPr>
          <w:rFonts w:ascii="Calibri" w:hAnsi="Calibri" w:cs="Calibri"/>
        </w:rPr>
        <w:t xml:space="preserve"> is a public body subject to the requirements of Oregon’s public records law, ORS 192.410 to 192.505. The </w:t>
      </w:r>
      <w:r w:rsidR="00B2185F">
        <w:rPr>
          <w:rFonts w:ascii="Calibri" w:hAnsi="Calibri" w:cs="Calibri"/>
        </w:rPr>
        <w:t>[AGENCY]</w:t>
      </w:r>
      <w:r w:rsidRPr="006D27F3">
        <w:rPr>
          <w:rFonts w:ascii="Calibri" w:hAnsi="Calibri" w:cs="Calibri"/>
        </w:rPr>
        <w:t xml:space="preserve"> has adopted an administrative rule, OAR 177-010-0100 Requests and Fees for Copies of Public Records. This rule sets forth procedures and the fees that the </w:t>
      </w:r>
      <w:r w:rsidR="00B2185F">
        <w:rPr>
          <w:rFonts w:ascii="Calibri" w:hAnsi="Calibri" w:cs="Calibri"/>
        </w:rPr>
        <w:t>[AGENCY]</w:t>
      </w:r>
      <w:r w:rsidRPr="006D27F3">
        <w:rPr>
          <w:rFonts w:ascii="Calibri" w:hAnsi="Calibri" w:cs="Calibri"/>
        </w:rPr>
        <w:t xml:space="preserve"> will charge for responding to a public records request. For purposes of responding to requests for </w:t>
      </w:r>
      <w:r w:rsidR="00B2185F">
        <w:rPr>
          <w:rFonts w:ascii="Calibri" w:hAnsi="Calibri" w:cs="Calibri"/>
        </w:rPr>
        <w:t>[AGENCY]</w:t>
      </w:r>
      <w:r w:rsidRPr="006D27F3">
        <w:rPr>
          <w:rFonts w:ascii="Calibri" w:hAnsi="Calibri" w:cs="Calibri"/>
        </w:rPr>
        <w:t xml:space="preserve"> public records, the </w:t>
      </w:r>
      <w:r w:rsidR="00B2185F">
        <w:rPr>
          <w:rFonts w:ascii="Calibri" w:hAnsi="Calibri" w:cs="Calibri"/>
        </w:rPr>
        <w:t>[AGENCY]</w:t>
      </w:r>
      <w:r w:rsidRPr="006D27F3">
        <w:rPr>
          <w:rFonts w:ascii="Calibri" w:hAnsi="Calibri" w:cs="Calibri"/>
        </w:rPr>
        <w:t xml:space="preserve"> will disclose its public records, or protect them from disclosure, in accordance with Oregon’s public records law, the </w:t>
      </w:r>
      <w:r w:rsidR="00B2185F">
        <w:rPr>
          <w:rFonts w:ascii="Calibri" w:hAnsi="Calibri" w:cs="Calibri"/>
        </w:rPr>
        <w:t>[AGENCY]</w:t>
      </w:r>
      <w:r w:rsidRPr="006D27F3">
        <w:rPr>
          <w:rFonts w:ascii="Calibri" w:hAnsi="Calibri" w:cs="Calibri"/>
        </w:rPr>
        <w:t>’s administrative rule</w:t>
      </w:r>
      <w:r w:rsidR="00064E19" w:rsidRPr="006D27F3">
        <w:rPr>
          <w:rFonts w:ascii="Calibri" w:hAnsi="Calibri" w:cs="Calibri"/>
        </w:rPr>
        <w:t>s</w:t>
      </w:r>
      <w:r w:rsidRPr="006D27F3">
        <w:rPr>
          <w:rFonts w:ascii="Calibri" w:hAnsi="Calibri" w:cs="Calibri"/>
        </w:rPr>
        <w:t>, this policy, and its internal operating procedures.</w:t>
      </w:r>
    </w:p>
    <w:p w14:paraId="57284C33" w14:textId="77777777" w:rsidR="00BF52AD" w:rsidRPr="006D27F3" w:rsidRDefault="00BF52AD" w:rsidP="00BF52AD">
      <w:pPr>
        <w:spacing w:before="240"/>
        <w:rPr>
          <w:rFonts w:ascii="Calibri" w:hAnsi="Calibri" w:cs="Calibri"/>
        </w:rPr>
      </w:pPr>
      <w:r w:rsidRPr="006D27F3">
        <w:rPr>
          <w:rFonts w:ascii="Calibri" w:hAnsi="Calibri" w:cs="Calibri"/>
        </w:rPr>
        <w:t xml:space="preserve">The </w:t>
      </w:r>
      <w:r w:rsidR="00B2185F">
        <w:rPr>
          <w:rFonts w:ascii="Calibri" w:hAnsi="Calibri" w:cs="Calibri"/>
        </w:rPr>
        <w:t>[AGENCY]</w:t>
      </w:r>
      <w:r w:rsidRPr="006D27F3">
        <w:rPr>
          <w:rFonts w:ascii="Calibri" w:hAnsi="Calibri" w:cs="Calibri"/>
        </w:rPr>
        <w:t xml:space="preserve"> will respond to all request</w:t>
      </w:r>
      <w:r w:rsidR="00064E19" w:rsidRPr="006D27F3">
        <w:rPr>
          <w:rFonts w:ascii="Calibri" w:hAnsi="Calibri" w:cs="Calibri"/>
        </w:rPr>
        <w:t>s</w:t>
      </w:r>
      <w:r w:rsidRPr="006D27F3">
        <w:rPr>
          <w:rFonts w:ascii="Calibri" w:hAnsi="Calibri" w:cs="Calibri"/>
        </w:rPr>
        <w:t xml:space="preserve"> for public records as timely as possible, consistent with the proper exercise of judgment relating to the </w:t>
      </w:r>
      <w:r w:rsidR="00B2185F">
        <w:rPr>
          <w:rFonts w:ascii="Calibri" w:hAnsi="Calibri" w:cs="Calibri"/>
        </w:rPr>
        <w:t>[AGENCY]</w:t>
      </w:r>
      <w:r w:rsidRPr="006D27F3">
        <w:rPr>
          <w:rFonts w:ascii="Calibri" w:hAnsi="Calibri" w:cs="Calibri"/>
        </w:rPr>
        <w:t>’s other duties.</w:t>
      </w:r>
    </w:p>
    <w:p w14:paraId="57284C34" w14:textId="77777777" w:rsidR="00BF52AD" w:rsidRPr="006D27F3" w:rsidRDefault="00BF52AD" w:rsidP="00BF52AD">
      <w:pPr>
        <w:spacing w:before="240"/>
        <w:rPr>
          <w:rFonts w:ascii="Calibri" w:hAnsi="Calibri" w:cs="Calibri"/>
        </w:rPr>
      </w:pPr>
      <w:r w:rsidRPr="006D27F3">
        <w:rPr>
          <w:rFonts w:ascii="Calibri" w:hAnsi="Calibri" w:cs="Calibri"/>
        </w:rPr>
        <w:t xml:space="preserve">Additional policies and procedures related to request for public records such as intake, processing, disclosure, and determinations related to fees and charges are the subject of separate </w:t>
      </w:r>
      <w:r w:rsidR="00B2185F">
        <w:rPr>
          <w:rFonts w:ascii="Calibri" w:hAnsi="Calibri" w:cs="Calibri"/>
        </w:rPr>
        <w:t>[AGENCY]</w:t>
      </w:r>
      <w:r w:rsidRPr="006D27F3">
        <w:rPr>
          <w:rFonts w:ascii="Calibri" w:hAnsi="Calibri" w:cs="Calibri"/>
        </w:rPr>
        <w:t xml:space="preserve"> </w:t>
      </w:r>
      <w:r w:rsidR="00BD315F" w:rsidRPr="006D27F3">
        <w:rPr>
          <w:rFonts w:ascii="Calibri" w:hAnsi="Calibri" w:cs="Calibri"/>
        </w:rPr>
        <w:t xml:space="preserve">rules, </w:t>
      </w:r>
      <w:r w:rsidRPr="006D27F3">
        <w:rPr>
          <w:rFonts w:ascii="Calibri" w:hAnsi="Calibri" w:cs="Calibri"/>
        </w:rPr>
        <w:t>polic</w:t>
      </w:r>
      <w:r w:rsidR="00BD315F" w:rsidRPr="006D27F3">
        <w:rPr>
          <w:rFonts w:ascii="Calibri" w:hAnsi="Calibri" w:cs="Calibri"/>
        </w:rPr>
        <w:t>i</w:t>
      </w:r>
      <w:r w:rsidRPr="006D27F3">
        <w:rPr>
          <w:rFonts w:ascii="Calibri" w:hAnsi="Calibri" w:cs="Calibri"/>
        </w:rPr>
        <w:t>es, and procedures.</w:t>
      </w:r>
    </w:p>
    <w:p w14:paraId="57284C35" w14:textId="77777777" w:rsidR="00BF52AD" w:rsidRPr="006D27F3" w:rsidRDefault="00BF52AD" w:rsidP="00BF52AD">
      <w:pPr>
        <w:spacing w:before="240"/>
        <w:rPr>
          <w:rFonts w:ascii="Calibri" w:hAnsi="Calibri" w:cs="Calibri"/>
          <w:b/>
        </w:rPr>
      </w:pPr>
      <w:r w:rsidRPr="006D27F3">
        <w:rPr>
          <w:rFonts w:ascii="Calibri" w:hAnsi="Calibri" w:cs="Calibri"/>
        </w:rPr>
        <w:t xml:space="preserve">The </w:t>
      </w:r>
      <w:r w:rsidR="00B2185F">
        <w:rPr>
          <w:rFonts w:ascii="Calibri" w:hAnsi="Calibri" w:cs="Calibri"/>
        </w:rPr>
        <w:t>[AGENCY]</w:t>
      </w:r>
      <w:r w:rsidRPr="006D27F3">
        <w:rPr>
          <w:rFonts w:ascii="Calibri" w:hAnsi="Calibri" w:cs="Calibri"/>
        </w:rPr>
        <w:t xml:space="preserve"> has assigned primary responsibility for dealing with public records requests to the corporate communications/public information section</w:t>
      </w:r>
      <w:r w:rsidR="00A76111" w:rsidRPr="006D27F3">
        <w:rPr>
          <w:rFonts w:ascii="Calibri" w:hAnsi="Calibri" w:cs="Calibri"/>
        </w:rPr>
        <w:t xml:space="preserve"> who works with the director’s office to process requests</w:t>
      </w:r>
      <w:r w:rsidRPr="006D27F3">
        <w:rPr>
          <w:rFonts w:ascii="Calibri" w:hAnsi="Calibri" w:cs="Calibri"/>
        </w:rPr>
        <w:t xml:space="preserve">. All requests for public records are to be directed to </w:t>
      </w:r>
      <w:r w:rsidR="00A76111" w:rsidRPr="006D27F3">
        <w:rPr>
          <w:rFonts w:ascii="Calibri" w:hAnsi="Calibri" w:cs="Calibri"/>
        </w:rPr>
        <w:t>the director’s senior executive assistant</w:t>
      </w:r>
      <w:r w:rsidRPr="006D27F3">
        <w:rPr>
          <w:rFonts w:ascii="Calibri" w:hAnsi="Calibri" w:cs="Calibri"/>
        </w:rPr>
        <w:t>.</w:t>
      </w:r>
    </w:p>
    <w:p w14:paraId="57284C36" w14:textId="77777777" w:rsidR="00BF52AD" w:rsidRPr="006D27F3" w:rsidRDefault="00BF52AD" w:rsidP="00BF52AD">
      <w:pPr>
        <w:spacing w:before="240"/>
        <w:rPr>
          <w:rFonts w:ascii="Calibri" w:hAnsi="Calibri" w:cs="Calibri"/>
        </w:rPr>
      </w:pPr>
      <w:r w:rsidRPr="006D27F3">
        <w:rPr>
          <w:rFonts w:ascii="Calibri" w:hAnsi="Calibri" w:cs="Calibri"/>
        </w:rPr>
        <w:t>Corporate communications/public information staff may forward requests for public records to the appropriate department or section for drafting of a response.</w:t>
      </w:r>
    </w:p>
    <w:p w14:paraId="57284C37" w14:textId="77777777" w:rsidR="00BF52AD" w:rsidRPr="006D27F3" w:rsidRDefault="00BF52AD" w:rsidP="00BF52AD">
      <w:pPr>
        <w:spacing w:before="240"/>
        <w:ind w:right="-180"/>
        <w:rPr>
          <w:rFonts w:ascii="Calibri" w:hAnsi="Calibri" w:cs="Calibri"/>
        </w:rPr>
      </w:pPr>
      <w:r w:rsidRPr="006D27F3">
        <w:rPr>
          <w:rFonts w:ascii="Calibri" w:hAnsi="Calibri" w:cs="Calibri"/>
        </w:rPr>
        <w:t>For public records requests that cross departmental lines, the corporate communications/public information staff will coordinate a response.</w:t>
      </w:r>
    </w:p>
    <w:p w14:paraId="57284C38" w14:textId="77777777" w:rsidR="00BF52AD" w:rsidRPr="006D27F3" w:rsidRDefault="00A76111" w:rsidP="00BF52AD">
      <w:pPr>
        <w:spacing w:before="240"/>
        <w:rPr>
          <w:rFonts w:ascii="Calibri" w:hAnsi="Calibri" w:cs="Calibri"/>
        </w:rPr>
      </w:pPr>
      <w:r w:rsidRPr="006D27F3">
        <w:rPr>
          <w:rFonts w:ascii="Calibri" w:hAnsi="Calibri" w:cs="Calibri"/>
        </w:rPr>
        <w:t>T</w:t>
      </w:r>
      <w:r w:rsidR="00BF52AD" w:rsidRPr="006D27F3">
        <w:rPr>
          <w:rFonts w:ascii="Calibri" w:hAnsi="Calibri" w:cs="Calibri"/>
        </w:rPr>
        <w:t xml:space="preserve">he </w:t>
      </w:r>
      <w:r w:rsidR="00B2185F">
        <w:rPr>
          <w:rFonts w:ascii="Calibri" w:hAnsi="Calibri" w:cs="Calibri"/>
        </w:rPr>
        <w:t>[AGENCY]</w:t>
      </w:r>
      <w:r w:rsidR="00BF52AD" w:rsidRPr="006D27F3">
        <w:rPr>
          <w:rFonts w:ascii="Calibri" w:hAnsi="Calibri" w:cs="Calibri"/>
        </w:rPr>
        <w:t xml:space="preserve"> may consult with the Oregon Attorney General’s Office before responding to request</w:t>
      </w:r>
      <w:r w:rsidRPr="006D27F3">
        <w:rPr>
          <w:rFonts w:ascii="Calibri" w:hAnsi="Calibri" w:cs="Calibri"/>
        </w:rPr>
        <w:t>s</w:t>
      </w:r>
      <w:r w:rsidR="00BF52AD" w:rsidRPr="006D27F3">
        <w:rPr>
          <w:rFonts w:ascii="Calibri" w:hAnsi="Calibri" w:cs="Calibri"/>
        </w:rPr>
        <w:t>.</w:t>
      </w:r>
    </w:p>
    <w:p w14:paraId="57284C39" w14:textId="77777777" w:rsidR="00064E19" w:rsidRPr="006D27F3" w:rsidRDefault="000D759A" w:rsidP="00BF52AD">
      <w:pPr>
        <w:spacing w:before="240"/>
        <w:rPr>
          <w:rFonts w:ascii="Calibri" w:hAnsi="Calibri" w:cs="Calibri"/>
          <w:b/>
        </w:rPr>
      </w:pPr>
      <w:r w:rsidRPr="006D27F3">
        <w:rPr>
          <w:rFonts w:ascii="Calibri" w:hAnsi="Calibri" w:cs="Calibri"/>
        </w:rPr>
        <w:t xml:space="preserve">9. </w:t>
      </w:r>
      <w:r w:rsidRPr="006D27F3">
        <w:rPr>
          <w:rFonts w:ascii="Calibri" w:hAnsi="Calibri" w:cs="Calibri"/>
          <w:b/>
        </w:rPr>
        <w:t>Disposition and destruction of public records:</w:t>
      </w:r>
    </w:p>
    <w:p w14:paraId="57284C3A" w14:textId="77777777" w:rsidR="00064E19" w:rsidRPr="006D27F3" w:rsidRDefault="00064E19" w:rsidP="00064E19">
      <w:pPr>
        <w:spacing w:before="240"/>
        <w:rPr>
          <w:rFonts w:ascii="Calibri" w:hAnsi="Calibri" w:cs="Calibri"/>
        </w:rPr>
      </w:pPr>
      <w:r w:rsidRPr="006D27F3">
        <w:rPr>
          <w:rFonts w:ascii="Calibri" w:hAnsi="Calibri" w:cs="Calibri"/>
        </w:rPr>
        <w:t xml:space="preserve">Oregon’s Public Records Law does not govern the retention and destruction of public records. OAR 166-030-0060 </w:t>
      </w:r>
      <w:r w:rsidR="00A340BC" w:rsidRPr="006D27F3">
        <w:rPr>
          <w:rFonts w:ascii="Calibri" w:hAnsi="Calibri" w:cs="Calibri"/>
        </w:rPr>
        <w:t>- “</w:t>
      </w:r>
      <w:r w:rsidRPr="006D27F3">
        <w:rPr>
          <w:rFonts w:ascii="Calibri" w:hAnsi="Calibri" w:cs="Calibri"/>
        </w:rPr>
        <w:t xml:space="preserve">Public Records Disposition and Destruction” and the </w:t>
      </w:r>
      <w:r w:rsidR="00B2185F">
        <w:rPr>
          <w:rFonts w:ascii="Calibri" w:hAnsi="Calibri" w:cs="Calibri"/>
        </w:rPr>
        <w:t>[AGENCY]</w:t>
      </w:r>
      <w:r w:rsidRPr="006D27F3">
        <w:rPr>
          <w:rFonts w:ascii="Calibri" w:hAnsi="Calibri" w:cs="Calibri"/>
        </w:rPr>
        <w:t xml:space="preserve">’s records retention schedules specify how long </w:t>
      </w:r>
      <w:r w:rsidR="00B2185F">
        <w:rPr>
          <w:rFonts w:ascii="Calibri" w:hAnsi="Calibri" w:cs="Calibri"/>
        </w:rPr>
        <w:t>[AGENCY]</w:t>
      </w:r>
      <w:r w:rsidRPr="006D27F3">
        <w:rPr>
          <w:rFonts w:ascii="Calibri" w:hAnsi="Calibri" w:cs="Calibri"/>
        </w:rPr>
        <w:t xml:space="preserve"> records shall be retained before they are destroyed.</w:t>
      </w:r>
    </w:p>
    <w:p w14:paraId="57284C3B" w14:textId="77777777" w:rsidR="00064E19" w:rsidRPr="006D27F3" w:rsidRDefault="00064E19" w:rsidP="00064E19">
      <w:pPr>
        <w:spacing w:before="240"/>
        <w:rPr>
          <w:rFonts w:ascii="Calibri" w:hAnsi="Calibri" w:cs="Calibri"/>
        </w:rPr>
      </w:pPr>
      <w:r w:rsidRPr="006D27F3">
        <w:rPr>
          <w:rFonts w:ascii="Calibri" w:hAnsi="Calibri" w:cs="Calibri"/>
        </w:rPr>
        <w:t xml:space="preserve">The </w:t>
      </w:r>
      <w:r w:rsidR="00B2185F">
        <w:rPr>
          <w:rFonts w:ascii="Calibri" w:hAnsi="Calibri" w:cs="Calibri"/>
        </w:rPr>
        <w:t>[AGENCY]</w:t>
      </w:r>
      <w:r w:rsidRPr="006D27F3">
        <w:rPr>
          <w:rFonts w:ascii="Calibri" w:hAnsi="Calibri" w:cs="Calibri"/>
        </w:rPr>
        <w:t xml:space="preserve"> will dispose of and/or destroy public records in accordance with the requirements of the </w:t>
      </w:r>
      <w:r w:rsidR="00B2185F">
        <w:rPr>
          <w:rFonts w:ascii="Calibri" w:hAnsi="Calibri" w:cs="Calibri"/>
        </w:rPr>
        <w:t>[AGENCY]</w:t>
      </w:r>
      <w:r w:rsidRPr="006D27F3">
        <w:rPr>
          <w:rFonts w:ascii="Calibri" w:hAnsi="Calibri" w:cs="Calibri"/>
        </w:rPr>
        <w:t>’s records retention schedules and OAR Chapter 166-300.</w:t>
      </w:r>
    </w:p>
    <w:p w14:paraId="57284C3C" w14:textId="77777777" w:rsidR="00064E19" w:rsidRPr="006D27F3" w:rsidRDefault="00064E19" w:rsidP="00064E19">
      <w:pPr>
        <w:spacing w:before="240"/>
        <w:rPr>
          <w:rFonts w:ascii="Calibri" w:hAnsi="Calibri" w:cs="Calibri"/>
        </w:rPr>
      </w:pPr>
      <w:r w:rsidRPr="006D27F3">
        <w:rPr>
          <w:rFonts w:ascii="Calibri" w:hAnsi="Calibri" w:cs="Calibri"/>
        </w:rPr>
        <w:t xml:space="preserve">In accordance with ORS 357.855, the </w:t>
      </w:r>
      <w:r w:rsidR="00B2185F">
        <w:rPr>
          <w:rFonts w:ascii="Calibri" w:hAnsi="Calibri" w:cs="Calibri"/>
        </w:rPr>
        <w:t>[AGENCY]</w:t>
      </w:r>
      <w:r w:rsidRPr="006D27F3">
        <w:rPr>
          <w:rFonts w:ascii="Calibri" w:hAnsi="Calibri" w:cs="Calibri"/>
        </w:rPr>
        <w:t xml:space="preserve"> will consult with the </w:t>
      </w:r>
      <w:r w:rsidR="00A76111" w:rsidRPr="006D27F3">
        <w:rPr>
          <w:rFonts w:ascii="Calibri" w:hAnsi="Calibri" w:cs="Calibri"/>
        </w:rPr>
        <w:t>s</w:t>
      </w:r>
      <w:r w:rsidRPr="006D27F3">
        <w:rPr>
          <w:rFonts w:ascii="Calibri" w:hAnsi="Calibri" w:cs="Calibri"/>
        </w:rPr>
        <w:t xml:space="preserve">tate </w:t>
      </w:r>
      <w:r w:rsidR="00A76111" w:rsidRPr="006D27F3">
        <w:rPr>
          <w:rFonts w:ascii="Calibri" w:hAnsi="Calibri" w:cs="Calibri"/>
        </w:rPr>
        <w:t>a</w:t>
      </w:r>
      <w:r w:rsidRPr="006D27F3">
        <w:rPr>
          <w:rFonts w:ascii="Calibri" w:hAnsi="Calibri" w:cs="Calibri"/>
        </w:rPr>
        <w:t xml:space="preserve">rchivist for advice and assistance in determining the disposition of any types of records not addressed in the </w:t>
      </w:r>
      <w:r w:rsidR="00B2185F">
        <w:rPr>
          <w:rFonts w:ascii="Calibri" w:hAnsi="Calibri" w:cs="Calibri"/>
        </w:rPr>
        <w:t>[AGENCY]</w:t>
      </w:r>
      <w:r w:rsidRPr="006D27F3">
        <w:rPr>
          <w:rFonts w:ascii="Calibri" w:hAnsi="Calibri" w:cs="Calibri"/>
        </w:rPr>
        <w:t>’s General or Special Retention Schedules and the reconciliation of any unforeseen issues regarding public records.</w:t>
      </w:r>
    </w:p>
    <w:p w14:paraId="57284C3D" w14:textId="77777777" w:rsidR="00064E19" w:rsidRPr="006D27F3" w:rsidRDefault="00064E19" w:rsidP="00064E19">
      <w:pPr>
        <w:spacing w:before="240"/>
        <w:rPr>
          <w:rFonts w:ascii="Calibri" w:hAnsi="Calibri" w:cs="Calibri"/>
        </w:rPr>
      </w:pPr>
      <w:r w:rsidRPr="006D27F3">
        <w:rPr>
          <w:rFonts w:ascii="Calibri" w:hAnsi="Calibri" w:cs="Calibri"/>
        </w:rPr>
        <w:t xml:space="preserve">Every five years the </w:t>
      </w:r>
      <w:r w:rsidR="00B2185F">
        <w:rPr>
          <w:rFonts w:ascii="Calibri" w:hAnsi="Calibri" w:cs="Calibri"/>
        </w:rPr>
        <w:t>[AGENCY]</w:t>
      </w:r>
      <w:r w:rsidRPr="006D27F3">
        <w:rPr>
          <w:rFonts w:ascii="Calibri" w:hAnsi="Calibri" w:cs="Calibri"/>
        </w:rPr>
        <w:t xml:space="preserve"> will review and update its records retention schedules, which is approved by the </w:t>
      </w:r>
      <w:r w:rsidR="00A76111" w:rsidRPr="006D27F3">
        <w:rPr>
          <w:rFonts w:ascii="Calibri" w:hAnsi="Calibri" w:cs="Calibri"/>
        </w:rPr>
        <w:t>s</w:t>
      </w:r>
      <w:r w:rsidRPr="006D27F3">
        <w:rPr>
          <w:rFonts w:ascii="Calibri" w:hAnsi="Calibri" w:cs="Calibri"/>
        </w:rPr>
        <w:t xml:space="preserve">tate </w:t>
      </w:r>
      <w:r w:rsidR="00A76111" w:rsidRPr="006D27F3">
        <w:rPr>
          <w:rFonts w:ascii="Calibri" w:hAnsi="Calibri" w:cs="Calibri"/>
        </w:rPr>
        <w:t>a</w:t>
      </w:r>
      <w:r w:rsidRPr="006D27F3">
        <w:rPr>
          <w:rFonts w:ascii="Calibri" w:hAnsi="Calibri" w:cs="Calibri"/>
        </w:rPr>
        <w:t xml:space="preserve">rchivist. The retention schedule and the Secretary of State’s administrative rules require the </w:t>
      </w:r>
      <w:r w:rsidR="00B2185F">
        <w:rPr>
          <w:rFonts w:ascii="Calibri" w:hAnsi="Calibri" w:cs="Calibri"/>
        </w:rPr>
        <w:t>[AGENCY]</w:t>
      </w:r>
      <w:r w:rsidRPr="006D27F3">
        <w:rPr>
          <w:rFonts w:ascii="Calibri" w:hAnsi="Calibri" w:cs="Calibri"/>
        </w:rPr>
        <w:t xml:space="preserve"> to destroy records past their retention date. All of the </w:t>
      </w:r>
      <w:r w:rsidR="00B2185F">
        <w:rPr>
          <w:rFonts w:ascii="Calibri" w:hAnsi="Calibri" w:cs="Calibri"/>
        </w:rPr>
        <w:t>[AGENCY]</w:t>
      </w:r>
      <w:r w:rsidRPr="006D27F3">
        <w:rPr>
          <w:rFonts w:ascii="Calibri" w:hAnsi="Calibri" w:cs="Calibri"/>
        </w:rPr>
        <w:t>’s records are subject to this retention schedule.</w:t>
      </w:r>
    </w:p>
    <w:p w14:paraId="57284C3E" w14:textId="77777777" w:rsidR="00064E19" w:rsidRPr="006D27F3" w:rsidRDefault="00064E19" w:rsidP="00064E19">
      <w:pPr>
        <w:pStyle w:val="BodyText"/>
        <w:spacing w:before="240"/>
        <w:jc w:val="left"/>
        <w:rPr>
          <w:rFonts w:ascii="Calibri" w:hAnsi="Calibri" w:cs="Calibri"/>
        </w:rPr>
      </w:pPr>
      <w:r w:rsidRPr="006D27F3">
        <w:rPr>
          <w:rFonts w:ascii="Calibri" w:hAnsi="Calibri" w:cs="Calibri"/>
          <w:b/>
        </w:rPr>
        <w:t>Note:</w:t>
      </w:r>
      <w:r w:rsidRPr="006D27F3">
        <w:rPr>
          <w:rFonts w:ascii="Calibri" w:hAnsi="Calibri" w:cs="Calibri"/>
        </w:rPr>
        <w:t xml:space="preserve"> Under ORS 162.305, it is a crime to knowingly destroy, conceal, remove, or falsely alter a public record. Tampering with an Oregon State </w:t>
      </w:r>
      <w:r w:rsidR="00B2185F">
        <w:rPr>
          <w:rFonts w:ascii="Calibri" w:hAnsi="Calibri" w:cs="Calibri"/>
        </w:rPr>
        <w:t>[AGENCY]</w:t>
      </w:r>
      <w:r w:rsidRPr="006D27F3">
        <w:rPr>
          <w:rFonts w:ascii="Calibri" w:hAnsi="Calibri" w:cs="Calibri"/>
        </w:rPr>
        <w:t xml:space="preserve"> record is a Class C felony. Tampering with records other than </w:t>
      </w:r>
      <w:r w:rsidR="00B2185F">
        <w:rPr>
          <w:rFonts w:ascii="Calibri" w:hAnsi="Calibri" w:cs="Calibri"/>
        </w:rPr>
        <w:t>[AGENCY]</w:t>
      </w:r>
      <w:r w:rsidRPr="006D27F3">
        <w:rPr>
          <w:rFonts w:ascii="Calibri" w:hAnsi="Calibri" w:cs="Calibri"/>
        </w:rPr>
        <w:t xml:space="preserve"> records is a Class A misdemeanor. The maximum prison term for a Class C felony is five years. For a Class A misdemeanor, it is one year.</w:t>
      </w:r>
    </w:p>
    <w:p w14:paraId="57284C3F" w14:textId="77777777" w:rsidR="006C17A8" w:rsidRPr="006D27F3" w:rsidRDefault="007B1598" w:rsidP="0005640B">
      <w:pPr>
        <w:spacing w:before="240"/>
        <w:rPr>
          <w:rFonts w:asciiTheme="minorHAnsi" w:hAnsiTheme="minorHAnsi" w:cstheme="minorHAnsi"/>
        </w:rPr>
      </w:pPr>
      <w:r w:rsidRPr="006D27F3">
        <w:rPr>
          <w:rFonts w:asciiTheme="minorHAnsi" w:hAnsiTheme="minorHAnsi" w:cstheme="minorHAnsi"/>
        </w:rPr>
        <w:t xml:space="preserve">10. </w:t>
      </w:r>
      <w:r w:rsidR="00696A1D" w:rsidRPr="006D27F3">
        <w:rPr>
          <w:rFonts w:asciiTheme="minorHAnsi" w:hAnsiTheme="minorHAnsi" w:cstheme="minorHAnsi"/>
          <w:b/>
        </w:rPr>
        <w:t xml:space="preserve">Public records </w:t>
      </w:r>
      <w:r w:rsidR="00AA27D6" w:rsidRPr="006D27F3">
        <w:rPr>
          <w:rFonts w:asciiTheme="minorHAnsi" w:hAnsiTheme="minorHAnsi" w:cstheme="minorHAnsi"/>
          <w:b/>
        </w:rPr>
        <w:t>exemptions</w:t>
      </w:r>
      <w:r w:rsidR="006C17A8" w:rsidRPr="006D27F3">
        <w:rPr>
          <w:rFonts w:asciiTheme="minorHAnsi" w:hAnsiTheme="minorHAnsi" w:cstheme="minorHAnsi"/>
          <w:b/>
        </w:rPr>
        <w:t>:</w:t>
      </w:r>
      <w:r w:rsidR="006C17A8" w:rsidRPr="006D27F3">
        <w:rPr>
          <w:rFonts w:asciiTheme="minorHAnsi" w:hAnsiTheme="minorHAnsi" w:cstheme="minorHAnsi"/>
        </w:rPr>
        <w:t xml:space="preserve"> The </w:t>
      </w:r>
      <w:r w:rsidR="003312DC" w:rsidRPr="006D27F3">
        <w:rPr>
          <w:rFonts w:asciiTheme="minorHAnsi" w:hAnsiTheme="minorHAnsi" w:cstheme="minorHAnsi"/>
        </w:rPr>
        <w:t>p</w:t>
      </w:r>
      <w:r w:rsidR="006C17A8" w:rsidRPr="006D27F3">
        <w:rPr>
          <w:rFonts w:asciiTheme="minorHAnsi" w:hAnsiTheme="minorHAnsi" w:cstheme="minorHAnsi"/>
        </w:rPr>
        <w:t xml:space="preserve">ublic </w:t>
      </w:r>
      <w:r w:rsidR="003312DC" w:rsidRPr="006D27F3">
        <w:rPr>
          <w:rFonts w:asciiTheme="minorHAnsi" w:hAnsiTheme="minorHAnsi" w:cstheme="minorHAnsi"/>
        </w:rPr>
        <w:t>r</w:t>
      </w:r>
      <w:r w:rsidR="006C17A8" w:rsidRPr="006D27F3">
        <w:rPr>
          <w:rFonts w:asciiTheme="minorHAnsi" w:hAnsiTheme="minorHAnsi" w:cstheme="minorHAnsi"/>
        </w:rPr>
        <w:t xml:space="preserve">ecords </w:t>
      </w:r>
      <w:r w:rsidR="003312DC" w:rsidRPr="006D27F3">
        <w:rPr>
          <w:rFonts w:asciiTheme="minorHAnsi" w:hAnsiTheme="minorHAnsi" w:cstheme="minorHAnsi"/>
        </w:rPr>
        <w:t>l</w:t>
      </w:r>
      <w:r w:rsidR="006C17A8" w:rsidRPr="006D27F3">
        <w:rPr>
          <w:rFonts w:asciiTheme="minorHAnsi" w:hAnsiTheme="minorHAnsi" w:cstheme="minorHAnsi"/>
        </w:rPr>
        <w:t>aw is primarily a disclosure law, rather than a confidentiality law.</w:t>
      </w:r>
      <w:r w:rsidR="00572585" w:rsidRPr="006D27F3">
        <w:rPr>
          <w:rFonts w:asciiTheme="minorHAnsi" w:hAnsiTheme="minorHAnsi" w:cstheme="minorHAnsi"/>
        </w:rPr>
        <w:t xml:space="preserve"> </w:t>
      </w:r>
      <w:r w:rsidR="006C17A8" w:rsidRPr="006D27F3">
        <w:rPr>
          <w:rFonts w:asciiTheme="minorHAnsi" w:hAnsiTheme="minorHAnsi" w:cstheme="minorHAnsi"/>
        </w:rPr>
        <w:t xml:space="preserve">The exemptions contained in it </w:t>
      </w:r>
      <w:r w:rsidR="00E028D4" w:rsidRPr="006D27F3">
        <w:rPr>
          <w:rFonts w:asciiTheme="minorHAnsi" w:hAnsiTheme="minorHAnsi" w:cstheme="minorHAnsi"/>
        </w:rPr>
        <w:t>are limited in their nature and scope of application because the general policy of the law favors public access to government records.</w:t>
      </w:r>
    </w:p>
    <w:p w14:paraId="57284C40" w14:textId="77777777" w:rsidR="00E028D4" w:rsidRPr="006D27F3" w:rsidRDefault="005A08D0" w:rsidP="0005640B">
      <w:pPr>
        <w:spacing w:before="240"/>
        <w:rPr>
          <w:rFonts w:asciiTheme="minorHAnsi" w:hAnsiTheme="minorHAnsi" w:cstheme="minorHAnsi"/>
        </w:rPr>
      </w:pPr>
      <w:r w:rsidRPr="006D27F3">
        <w:rPr>
          <w:rFonts w:asciiTheme="minorHAnsi" w:hAnsiTheme="minorHAnsi" w:cstheme="minorHAnsi"/>
        </w:rPr>
        <w:t>T</w:t>
      </w:r>
      <w:r w:rsidR="006F5A01" w:rsidRPr="006D27F3">
        <w:rPr>
          <w:rFonts w:asciiTheme="minorHAnsi" w:hAnsiTheme="minorHAnsi" w:cstheme="minorHAnsi"/>
        </w:rPr>
        <w:t xml:space="preserve">he fact that particular information meets the tests for exemption from disclosure does not necessarily mean that the </w:t>
      </w:r>
      <w:r w:rsidR="00B2185F">
        <w:rPr>
          <w:rFonts w:asciiTheme="minorHAnsi" w:hAnsiTheme="minorHAnsi" w:cstheme="minorHAnsi"/>
        </w:rPr>
        <w:t>[AGENCY]</w:t>
      </w:r>
      <w:r w:rsidR="006F5A01" w:rsidRPr="006D27F3">
        <w:rPr>
          <w:rFonts w:asciiTheme="minorHAnsi" w:hAnsiTheme="minorHAnsi" w:cstheme="minorHAnsi"/>
        </w:rPr>
        <w:t xml:space="preserve"> is prohibited from disclosing the information.</w:t>
      </w:r>
      <w:r w:rsidR="00572585" w:rsidRPr="006D27F3">
        <w:rPr>
          <w:rFonts w:asciiTheme="minorHAnsi" w:hAnsiTheme="minorHAnsi" w:cstheme="minorHAnsi"/>
        </w:rPr>
        <w:t xml:space="preserve"> </w:t>
      </w:r>
      <w:r w:rsidR="006F5A01" w:rsidRPr="006D27F3">
        <w:rPr>
          <w:rFonts w:asciiTheme="minorHAnsi" w:hAnsiTheme="minorHAnsi" w:cstheme="minorHAnsi"/>
        </w:rPr>
        <w:t xml:space="preserve">In most cases, the </w:t>
      </w:r>
      <w:r w:rsidR="00B2185F">
        <w:rPr>
          <w:rFonts w:asciiTheme="minorHAnsi" w:hAnsiTheme="minorHAnsi" w:cstheme="minorHAnsi"/>
        </w:rPr>
        <w:t>[AGENCY]</w:t>
      </w:r>
      <w:r w:rsidR="006F5A01" w:rsidRPr="006D27F3">
        <w:rPr>
          <w:rFonts w:asciiTheme="minorHAnsi" w:hAnsiTheme="minorHAnsi" w:cstheme="minorHAnsi"/>
        </w:rPr>
        <w:t xml:space="preserve"> has discretion to disclose </w:t>
      </w:r>
      <w:r w:rsidR="0054102B" w:rsidRPr="006D27F3">
        <w:rPr>
          <w:rFonts w:asciiTheme="minorHAnsi" w:hAnsiTheme="minorHAnsi" w:cstheme="minorHAnsi"/>
        </w:rPr>
        <w:t>information</w:t>
      </w:r>
      <w:r w:rsidR="006F5A01" w:rsidRPr="006D27F3">
        <w:rPr>
          <w:rFonts w:asciiTheme="minorHAnsi" w:hAnsiTheme="minorHAnsi" w:cstheme="minorHAnsi"/>
        </w:rPr>
        <w:t xml:space="preserve"> that </w:t>
      </w:r>
      <w:r w:rsidR="00E028D4" w:rsidRPr="006D27F3">
        <w:rPr>
          <w:rFonts w:asciiTheme="minorHAnsi" w:hAnsiTheme="minorHAnsi" w:cstheme="minorHAnsi"/>
        </w:rPr>
        <w:t xml:space="preserve">otherwise </w:t>
      </w:r>
      <w:r w:rsidR="006F5A01" w:rsidRPr="006D27F3">
        <w:rPr>
          <w:rFonts w:asciiTheme="minorHAnsi" w:hAnsiTheme="minorHAnsi" w:cstheme="minorHAnsi"/>
        </w:rPr>
        <w:t>qualif</w:t>
      </w:r>
      <w:r w:rsidR="0054102B" w:rsidRPr="006D27F3">
        <w:rPr>
          <w:rFonts w:asciiTheme="minorHAnsi" w:hAnsiTheme="minorHAnsi" w:cstheme="minorHAnsi"/>
        </w:rPr>
        <w:t>ies</w:t>
      </w:r>
      <w:r w:rsidR="0008696E" w:rsidRPr="006D27F3">
        <w:rPr>
          <w:rFonts w:asciiTheme="minorHAnsi" w:hAnsiTheme="minorHAnsi" w:cstheme="minorHAnsi"/>
        </w:rPr>
        <w:t xml:space="preserve"> </w:t>
      </w:r>
      <w:r w:rsidR="006F5A01" w:rsidRPr="006D27F3">
        <w:rPr>
          <w:rFonts w:asciiTheme="minorHAnsi" w:hAnsiTheme="minorHAnsi" w:cstheme="minorHAnsi"/>
        </w:rPr>
        <w:t>f</w:t>
      </w:r>
      <w:r w:rsidR="00F9755D" w:rsidRPr="006D27F3">
        <w:rPr>
          <w:rFonts w:asciiTheme="minorHAnsi" w:hAnsiTheme="minorHAnsi" w:cstheme="minorHAnsi"/>
        </w:rPr>
        <w:t>or</w:t>
      </w:r>
      <w:r w:rsidR="006F5A01" w:rsidRPr="006D27F3">
        <w:rPr>
          <w:rFonts w:asciiTheme="minorHAnsi" w:hAnsiTheme="minorHAnsi" w:cstheme="minorHAnsi"/>
        </w:rPr>
        <w:t xml:space="preserve"> exemption from disclosure under the </w:t>
      </w:r>
      <w:r w:rsidR="004C720B" w:rsidRPr="006D27F3">
        <w:rPr>
          <w:rFonts w:asciiTheme="minorHAnsi" w:hAnsiTheme="minorHAnsi" w:cstheme="minorHAnsi"/>
        </w:rPr>
        <w:t>p</w:t>
      </w:r>
      <w:r w:rsidR="006F5A01" w:rsidRPr="006D27F3">
        <w:rPr>
          <w:rFonts w:asciiTheme="minorHAnsi" w:hAnsiTheme="minorHAnsi" w:cstheme="minorHAnsi"/>
        </w:rPr>
        <w:t xml:space="preserve">ublic </w:t>
      </w:r>
      <w:r w:rsidR="004C720B" w:rsidRPr="006D27F3">
        <w:rPr>
          <w:rFonts w:asciiTheme="minorHAnsi" w:hAnsiTheme="minorHAnsi" w:cstheme="minorHAnsi"/>
        </w:rPr>
        <w:t>r</w:t>
      </w:r>
      <w:r w:rsidR="006F5A01" w:rsidRPr="006D27F3">
        <w:rPr>
          <w:rFonts w:asciiTheme="minorHAnsi" w:hAnsiTheme="minorHAnsi" w:cstheme="minorHAnsi"/>
        </w:rPr>
        <w:t xml:space="preserve">ecords </w:t>
      </w:r>
      <w:r w:rsidR="004C720B" w:rsidRPr="006D27F3">
        <w:rPr>
          <w:rFonts w:asciiTheme="minorHAnsi" w:hAnsiTheme="minorHAnsi" w:cstheme="minorHAnsi"/>
        </w:rPr>
        <w:t>l</w:t>
      </w:r>
      <w:r w:rsidR="006F5A01" w:rsidRPr="006D27F3">
        <w:rPr>
          <w:rFonts w:asciiTheme="minorHAnsi" w:hAnsiTheme="minorHAnsi" w:cstheme="minorHAnsi"/>
        </w:rPr>
        <w:t>aw</w:t>
      </w:r>
      <w:r w:rsidR="0025467E" w:rsidRPr="006D27F3">
        <w:rPr>
          <w:rFonts w:asciiTheme="minorHAnsi" w:hAnsiTheme="minorHAnsi" w:cstheme="minorHAnsi"/>
        </w:rPr>
        <w:t>, unless the information is protected by some other law.</w:t>
      </w:r>
      <w:r w:rsidR="00572585" w:rsidRPr="006D27F3">
        <w:rPr>
          <w:rFonts w:asciiTheme="minorHAnsi" w:hAnsiTheme="minorHAnsi" w:cstheme="minorHAnsi"/>
        </w:rPr>
        <w:t xml:space="preserve"> </w:t>
      </w:r>
      <w:r w:rsidR="0025467E" w:rsidRPr="006D27F3">
        <w:rPr>
          <w:rFonts w:asciiTheme="minorHAnsi" w:hAnsiTheme="minorHAnsi" w:cstheme="minorHAnsi"/>
        </w:rPr>
        <w:t xml:space="preserve">Please refer to the section on </w:t>
      </w:r>
      <w:r w:rsidR="004C720B" w:rsidRPr="006D27F3">
        <w:rPr>
          <w:rFonts w:asciiTheme="minorHAnsi" w:hAnsiTheme="minorHAnsi" w:cstheme="minorHAnsi"/>
        </w:rPr>
        <w:t>p</w:t>
      </w:r>
      <w:r w:rsidR="0025467E" w:rsidRPr="006D27F3">
        <w:rPr>
          <w:rFonts w:asciiTheme="minorHAnsi" w:hAnsiTheme="minorHAnsi" w:cstheme="minorHAnsi"/>
        </w:rPr>
        <w:t xml:space="preserve">rohibited </w:t>
      </w:r>
      <w:r w:rsidR="004C720B" w:rsidRPr="006D27F3">
        <w:rPr>
          <w:rFonts w:asciiTheme="minorHAnsi" w:hAnsiTheme="minorHAnsi" w:cstheme="minorHAnsi"/>
        </w:rPr>
        <w:t>d</w:t>
      </w:r>
      <w:r w:rsidR="0025467E" w:rsidRPr="006D27F3">
        <w:rPr>
          <w:rFonts w:asciiTheme="minorHAnsi" w:hAnsiTheme="minorHAnsi" w:cstheme="minorHAnsi"/>
        </w:rPr>
        <w:t>isclosures below</w:t>
      </w:r>
      <w:r w:rsidR="006F5A01" w:rsidRPr="006D27F3">
        <w:rPr>
          <w:rFonts w:asciiTheme="minorHAnsi" w:hAnsiTheme="minorHAnsi" w:cstheme="minorHAnsi"/>
        </w:rPr>
        <w:t>.</w:t>
      </w:r>
    </w:p>
    <w:p w14:paraId="57284C41" w14:textId="77777777" w:rsidR="006F5A01" w:rsidRPr="006D27F3" w:rsidRDefault="007B1598" w:rsidP="0005640B">
      <w:pPr>
        <w:spacing w:before="240"/>
        <w:rPr>
          <w:rFonts w:asciiTheme="minorHAnsi" w:hAnsiTheme="minorHAnsi" w:cstheme="minorHAnsi"/>
        </w:rPr>
      </w:pPr>
      <w:r w:rsidRPr="006D27F3">
        <w:rPr>
          <w:rFonts w:asciiTheme="minorHAnsi" w:hAnsiTheme="minorHAnsi" w:cstheme="minorHAnsi"/>
        </w:rPr>
        <w:t xml:space="preserve">11. </w:t>
      </w:r>
      <w:r w:rsidR="00B82282" w:rsidRPr="006D27F3">
        <w:rPr>
          <w:rFonts w:asciiTheme="minorHAnsi" w:hAnsiTheme="minorHAnsi" w:cstheme="minorHAnsi"/>
          <w:b/>
        </w:rPr>
        <w:t>P</w:t>
      </w:r>
      <w:r w:rsidR="00737499" w:rsidRPr="006D27F3">
        <w:rPr>
          <w:rFonts w:asciiTheme="minorHAnsi" w:hAnsiTheme="minorHAnsi" w:cstheme="minorHAnsi"/>
          <w:b/>
        </w:rPr>
        <w:t>rohibited disclosures</w:t>
      </w:r>
      <w:r w:rsidR="00E028D4" w:rsidRPr="006D27F3">
        <w:rPr>
          <w:rFonts w:asciiTheme="minorHAnsi" w:hAnsiTheme="minorHAnsi" w:cstheme="minorHAnsi"/>
          <w:b/>
        </w:rPr>
        <w:t>:</w:t>
      </w:r>
      <w:r w:rsidR="00E028D4" w:rsidRPr="006D27F3">
        <w:rPr>
          <w:rFonts w:asciiTheme="minorHAnsi" w:hAnsiTheme="minorHAnsi" w:cstheme="minorHAnsi"/>
        </w:rPr>
        <w:t xml:space="preserve"> </w:t>
      </w:r>
      <w:r w:rsidR="006F5A01" w:rsidRPr="006D27F3">
        <w:rPr>
          <w:rFonts w:asciiTheme="minorHAnsi" w:hAnsiTheme="minorHAnsi" w:cstheme="minorHAnsi"/>
        </w:rPr>
        <w:t xml:space="preserve">There are a few instances in which the </w:t>
      </w:r>
      <w:r w:rsidR="00B2185F">
        <w:rPr>
          <w:rFonts w:asciiTheme="minorHAnsi" w:hAnsiTheme="minorHAnsi" w:cstheme="minorHAnsi"/>
        </w:rPr>
        <w:t>[AGENCY]</w:t>
      </w:r>
      <w:r w:rsidR="006F5A01" w:rsidRPr="006D27F3">
        <w:rPr>
          <w:rFonts w:asciiTheme="minorHAnsi" w:hAnsiTheme="minorHAnsi" w:cstheme="minorHAnsi"/>
        </w:rPr>
        <w:t xml:space="preserve"> is </w:t>
      </w:r>
      <w:r w:rsidR="00E028D4" w:rsidRPr="006D27F3">
        <w:rPr>
          <w:rFonts w:asciiTheme="minorHAnsi" w:hAnsiTheme="minorHAnsi" w:cstheme="minorHAnsi"/>
        </w:rPr>
        <w:t>legally</w:t>
      </w:r>
      <w:r w:rsidR="006F5A01" w:rsidRPr="006D27F3">
        <w:rPr>
          <w:rFonts w:asciiTheme="minorHAnsi" w:hAnsiTheme="minorHAnsi" w:cstheme="minorHAnsi"/>
        </w:rPr>
        <w:t xml:space="preserve"> prohibited from disclosing information that is exempt from inspection under the </w:t>
      </w:r>
      <w:r w:rsidR="00FF0669" w:rsidRPr="006D27F3">
        <w:rPr>
          <w:rFonts w:asciiTheme="minorHAnsi" w:hAnsiTheme="minorHAnsi" w:cstheme="minorHAnsi"/>
        </w:rPr>
        <w:t>p</w:t>
      </w:r>
      <w:r w:rsidR="006F5A01" w:rsidRPr="006D27F3">
        <w:rPr>
          <w:rFonts w:asciiTheme="minorHAnsi" w:hAnsiTheme="minorHAnsi" w:cstheme="minorHAnsi"/>
        </w:rPr>
        <w:t xml:space="preserve">ublic </w:t>
      </w:r>
      <w:r w:rsidR="00FF0669" w:rsidRPr="006D27F3">
        <w:rPr>
          <w:rFonts w:asciiTheme="minorHAnsi" w:hAnsiTheme="minorHAnsi" w:cstheme="minorHAnsi"/>
        </w:rPr>
        <w:t>r</w:t>
      </w:r>
      <w:r w:rsidR="006F5A01" w:rsidRPr="006D27F3">
        <w:rPr>
          <w:rFonts w:asciiTheme="minorHAnsi" w:hAnsiTheme="minorHAnsi" w:cstheme="minorHAnsi"/>
        </w:rPr>
        <w:t xml:space="preserve">ecords </w:t>
      </w:r>
      <w:r w:rsidR="00FF0669" w:rsidRPr="006D27F3">
        <w:rPr>
          <w:rFonts w:asciiTheme="minorHAnsi" w:hAnsiTheme="minorHAnsi" w:cstheme="minorHAnsi"/>
        </w:rPr>
        <w:t>l</w:t>
      </w:r>
      <w:r w:rsidR="006F5A01" w:rsidRPr="006D27F3">
        <w:rPr>
          <w:rFonts w:asciiTheme="minorHAnsi" w:hAnsiTheme="minorHAnsi" w:cstheme="minorHAnsi"/>
        </w:rPr>
        <w:t>aw.</w:t>
      </w:r>
      <w:r w:rsidR="00572585" w:rsidRPr="006D27F3">
        <w:rPr>
          <w:rFonts w:asciiTheme="minorHAnsi" w:hAnsiTheme="minorHAnsi" w:cstheme="minorHAnsi"/>
        </w:rPr>
        <w:t xml:space="preserve"> </w:t>
      </w:r>
      <w:r w:rsidR="00E028D4" w:rsidRPr="006D27F3">
        <w:rPr>
          <w:rFonts w:asciiTheme="minorHAnsi" w:hAnsiTheme="minorHAnsi" w:cstheme="minorHAnsi"/>
        </w:rPr>
        <w:t>They are:</w:t>
      </w:r>
    </w:p>
    <w:p w14:paraId="57284C42" w14:textId="77777777" w:rsidR="006C17A8" w:rsidRPr="006D27F3" w:rsidRDefault="007B1598" w:rsidP="00FD7DC3">
      <w:pPr>
        <w:spacing w:before="240"/>
        <w:ind w:left="540"/>
        <w:rPr>
          <w:rFonts w:asciiTheme="minorHAnsi" w:hAnsiTheme="minorHAnsi" w:cstheme="minorHAnsi"/>
        </w:rPr>
      </w:pPr>
      <w:r w:rsidRPr="006D27F3">
        <w:rPr>
          <w:rFonts w:asciiTheme="minorHAnsi" w:hAnsiTheme="minorHAnsi" w:cstheme="minorHAnsi"/>
        </w:rPr>
        <w:t>A</w:t>
      </w:r>
      <w:r w:rsidR="006C17A8" w:rsidRPr="006D27F3">
        <w:rPr>
          <w:rFonts w:asciiTheme="minorHAnsi" w:hAnsiTheme="minorHAnsi" w:cstheme="minorHAnsi"/>
        </w:rPr>
        <w:t>.</w:t>
      </w:r>
      <w:r w:rsidR="00FD7DC3" w:rsidRPr="006D27F3">
        <w:rPr>
          <w:rFonts w:asciiTheme="minorHAnsi" w:hAnsiTheme="minorHAnsi" w:cstheme="minorHAnsi"/>
        </w:rPr>
        <w:t xml:space="preserve"> </w:t>
      </w:r>
      <w:r w:rsidR="006C17A8" w:rsidRPr="006D27F3">
        <w:rPr>
          <w:rFonts w:asciiTheme="minorHAnsi" w:hAnsiTheme="minorHAnsi" w:cstheme="minorHAnsi"/>
          <w:b/>
        </w:rPr>
        <w:t xml:space="preserve">Personal </w:t>
      </w:r>
      <w:r w:rsidR="00FF0669" w:rsidRPr="006D27F3">
        <w:rPr>
          <w:rFonts w:asciiTheme="minorHAnsi" w:hAnsiTheme="minorHAnsi" w:cstheme="minorHAnsi"/>
          <w:b/>
        </w:rPr>
        <w:t>s</w:t>
      </w:r>
      <w:r w:rsidR="006C17A8" w:rsidRPr="006D27F3">
        <w:rPr>
          <w:rFonts w:asciiTheme="minorHAnsi" w:hAnsiTheme="minorHAnsi" w:cstheme="minorHAnsi"/>
          <w:b/>
        </w:rPr>
        <w:t xml:space="preserve">afety </w:t>
      </w:r>
      <w:r w:rsidR="00FF0669" w:rsidRPr="006D27F3">
        <w:rPr>
          <w:rFonts w:asciiTheme="minorHAnsi" w:hAnsiTheme="minorHAnsi" w:cstheme="minorHAnsi"/>
          <w:b/>
        </w:rPr>
        <w:t>e</w:t>
      </w:r>
      <w:r w:rsidR="006C17A8" w:rsidRPr="006D27F3">
        <w:rPr>
          <w:rFonts w:asciiTheme="minorHAnsi" w:hAnsiTheme="minorHAnsi" w:cstheme="minorHAnsi"/>
          <w:b/>
        </w:rPr>
        <w:t>xemption:</w:t>
      </w:r>
      <w:r w:rsidR="006C17A8" w:rsidRPr="006D27F3">
        <w:rPr>
          <w:rFonts w:asciiTheme="minorHAnsi" w:hAnsiTheme="minorHAnsi" w:cstheme="minorHAnsi"/>
        </w:rPr>
        <w:t xml:space="preserve"> ORS 192.445(1) prohibits disclosure of an individual’s home address, personal telephone number, or electronic mail address if the individual demonstrates to the satisfaction of the public body that the personal safety of the individual or the personal safety of a family member residing with the individual is in danger if that information remains available for public inspection.</w:t>
      </w:r>
    </w:p>
    <w:p w14:paraId="57284C43" w14:textId="77777777" w:rsidR="00A526A3" w:rsidRPr="006D27F3" w:rsidRDefault="007B1598" w:rsidP="00FD7DC3">
      <w:pPr>
        <w:spacing w:before="240"/>
        <w:ind w:left="540"/>
        <w:rPr>
          <w:rFonts w:asciiTheme="minorHAnsi" w:hAnsiTheme="minorHAnsi" w:cstheme="minorHAnsi"/>
        </w:rPr>
      </w:pPr>
      <w:r w:rsidRPr="006D27F3">
        <w:rPr>
          <w:rFonts w:asciiTheme="minorHAnsi" w:hAnsiTheme="minorHAnsi" w:cstheme="minorHAnsi"/>
        </w:rPr>
        <w:t>B</w:t>
      </w:r>
      <w:r w:rsidR="006C17A8" w:rsidRPr="006D27F3">
        <w:rPr>
          <w:rFonts w:asciiTheme="minorHAnsi" w:hAnsiTheme="minorHAnsi" w:cstheme="minorHAnsi"/>
        </w:rPr>
        <w:t>.</w:t>
      </w:r>
      <w:r w:rsidR="00FD7DC3" w:rsidRPr="006D27F3">
        <w:rPr>
          <w:rFonts w:asciiTheme="minorHAnsi" w:hAnsiTheme="minorHAnsi" w:cstheme="minorHAnsi"/>
        </w:rPr>
        <w:t xml:space="preserve"> </w:t>
      </w:r>
      <w:r w:rsidR="006C17A8" w:rsidRPr="006D27F3">
        <w:rPr>
          <w:rFonts w:asciiTheme="minorHAnsi" w:hAnsiTheme="minorHAnsi" w:cstheme="minorHAnsi"/>
          <w:b/>
        </w:rPr>
        <w:t xml:space="preserve">Employee </w:t>
      </w:r>
      <w:r w:rsidR="00FF0669" w:rsidRPr="006D27F3">
        <w:rPr>
          <w:rFonts w:asciiTheme="minorHAnsi" w:hAnsiTheme="minorHAnsi" w:cstheme="minorHAnsi"/>
          <w:b/>
        </w:rPr>
        <w:t>p</w:t>
      </w:r>
      <w:r w:rsidR="006C17A8" w:rsidRPr="006D27F3">
        <w:rPr>
          <w:rFonts w:asciiTheme="minorHAnsi" w:hAnsiTheme="minorHAnsi" w:cstheme="minorHAnsi"/>
          <w:b/>
        </w:rPr>
        <w:t xml:space="preserve">hoto ID </w:t>
      </w:r>
      <w:r w:rsidR="00FF0669" w:rsidRPr="006D27F3">
        <w:rPr>
          <w:rFonts w:asciiTheme="minorHAnsi" w:hAnsiTheme="minorHAnsi" w:cstheme="minorHAnsi"/>
          <w:b/>
        </w:rPr>
        <w:t>b</w:t>
      </w:r>
      <w:r w:rsidR="006C17A8" w:rsidRPr="006D27F3">
        <w:rPr>
          <w:rFonts w:asciiTheme="minorHAnsi" w:hAnsiTheme="minorHAnsi" w:cstheme="minorHAnsi"/>
          <w:b/>
        </w:rPr>
        <w:t xml:space="preserve">adge and </w:t>
      </w:r>
      <w:r w:rsidR="00FF0669" w:rsidRPr="006D27F3">
        <w:rPr>
          <w:rFonts w:asciiTheme="minorHAnsi" w:hAnsiTheme="minorHAnsi" w:cstheme="minorHAnsi"/>
          <w:b/>
        </w:rPr>
        <w:t>c</w:t>
      </w:r>
      <w:r w:rsidR="006C17A8" w:rsidRPr="006D27F3">
        <w:rPr>
          <w:rFonts w:asciiTheme="minorHAnsi" w:hAnsiTheme="minorHAnsi" w:cstheme="minorHAnsi"/>
          <w:b/>
        </w:rPr>
        <w:t xml:space="preserve">ard </w:t>
      </w:r>
      <w:r w:rsidR="00FF0669" w:rsidRPr="006D27F3">
        <w:rPr>
          <w:rFonts w:asciiTheme="minorHAnsi" w:hAnsiTheme="minorHAnsi" w:cstheme="minorHAnsi"/>
          <w:b/>
        </w:rPr>
        <w:t>e</w:t>
      </w:r>
      <w:r w:rsidR="006C17A8" w:rsidRPr="006D27F3">
        <w:rPr>
          <w:rFonts w:asciiTheme="minorHAnsi" w:hAnsiTheme="minorHAnsi" w:cstheme="minorHAnsi"/>
          <w:b/>
        </w:rPr>
        <w:t>xemption:</w:t>
      </w:r>
      <w:r w:rsidR="006C17A8" w:rsidRPr="006D27F3">
        <w:rPr>
          <w:rFonts w:asciiTheme="minorHAnsi" w:hAnsiTheme="minorHAnsi" w:cstheme="minorHAnsi"/>
        </w:rPr>
        <w:t xml:space="preserve"> ORS 192.447 prohibits disclosure of a public employee identification badge or card without the employee’s written consent</w:t>
      </w:r>
      <w:r w:rsidR="00993FC4" w:rsidRPr="006D27F3">
        <w:rPr>
          <w:rFonts w:asciiTheme="minorHAnsi" w:hAnsiTheme="minorHAnsi" w:cstheme="minorHAnsi"/>
        </w:rPr>
        <w:t xml:space="preserve"> if the badge </w:t>
      </w:r>
      <w:r w:rsidR="00270218" w:rsidRPr="006D27F3">
        <w:rPr>
          <w:rFonts w:asciiTheme="minorHAnsi" w:hAnsiTheme="minorHAnsi" w:cstheme="minorHAnsi"/>
        </w:rPr>
        <w:t xml:space="preserve">or card contains a photograph of the employee and the badge or card </w:t>
      </w:r>
      <w:r w:rsidR="00993FC4" w:rsidRPr="006D27F3">
        <w:rPr>
          <w:rFonts w:asciiTheme="minorHAnsi" w:hAnsiTheme="minorHAnsi" w:cstheme="minorHAnsi"/>
        </w:rPr>
        <w:t>was prepared solely for internal use by the public body</w:t>
      </w:r>
      <w:r w:rsidR="006C17A8" w:rsidRPr="006D27F3">
        <w:rPr>
          <w:rFonts w:asciiTheme="minorHAnsi" w:hAnsiTheme="minorHAnsi" w:cstheme="minorHAnsi"/>
        </w:rPr>
        <w:t>.</w:t>
      </w:r>
      <w:r w:rsidR="00572585" w:rsidRPr="006D27F3">
        <w:rPr>
          <w:rFonts w:asciiTheme="minorHAnsi" w:hAnsiTheme="minorHAnsi" w:cstheme="minorHAnsi"/>
        </w:rPr>
        <w:t xml:space="preserve"> </w:t>
      </w:r>
      <w:r w:rsidR="004D1A3E" w:rsidRPr="006D27F3">
        <w:rPr>
          <w:rFonts w:asciiTheme="minorHAnsi" w:hAnsiTheme="minorHAnsi" w:cstheme="minorHAnsi"/>
        </w:rPr>
        <w:t xml:space="preserve">The </w:t>
      </w:r>
      <w:r w:rsidR="00B2185F">
        <w:rPr>
          <w:rFonts w:asciiTheme="minorHAnsi" w:hAnsiTheme="minorHAnsi" w:cstheme="minorHAnsi"/>
        </w:rPr>
        <w:t>[AGENCY]</w:t>
      </w:r>
      <w:r w:rsidR="004D1A3E" w:rsidRPr="006D27F3">
        <w:rPr>
          <w:rFonts w:asciiTheme="minorHAnsi" w:hAnsiTheme="minorHAnsi" w:cstheme="minorHAnsi"/>
        </w:rPr>
        <w:t>’s badges do not meet this definition</w:t>
      </w:r>
      <w:r w:rsidR="0025467E" w:rsidRPr="006D27F3">
        <w:rPr>
          <w:rFonts w:asciiTheme="minorHAnsi" w:hAnsiTheme="minorHAnsi" w:cstheme="minorHAnsi"/>
        </w:rPr>
        <w:t>.</w:t>
      </w:r>
      <w:r w:rsidR="00572585" w:rsidRPr="006D27F3">
        <w:rPr>
          <w:rFonts w:asciiTheme="minorHAnsi" w:hAnsiTheme="minorHAnsi" w:cstheme="minorHAnsi"/>
        </w:rPr>
        <w:t xml:space="preserve"> </w:t>
      </w:r>
      <w:r w:rsidR="0025467E" w:rsidRPr="006D27F3">
        <w:rPr>
          <w:rFonts w:asciiTheme="minorHAnsi" w:hAnsiTheme="minorHAnsi" w:cstheme="minorHAnsi"/>
        </w:rPr>
        <w:t>This statute does prohibit disclosure of a duplicate of the photograph used on the badge or identification card.</w:t>
      </w:r>
    </w:p>
    <w:p w14:paraId="57284C44" w14:textId="77777777" w:rsidR="00F42228" w:rsidRPr="006D27F3" w:rsidRDefault="007B1598" w:rsidP="00FD7DC3">
      <w:pPr>
        <w:spacing w:before="240"/>
        <w:ind w:left="540"/>
        <w:rPr>
          <w:rFonts w:asciiTheme="minorHAnsi" w:hAnsiTheme="minorHAnsi" w:cstheme="minorHAnsi"/>
        </w:rPr>
      </w:pPr>
      <w:r w:rsidRPr="006D27F3">
        <w:rPr>
          <w:rFonts w:asciiTheme="minorHAnsi" w:hAnsiTheme="minorHAnsi" w:cstheme="minorHAnsi"/>
        </w:rPr>
        <w:t>C</w:t>
      </w:r>
      <w:r w:rsidR="00F42228" w:rsidRPr="006D27F3">
        <w:rPr>
          <w:rFonts w:asciiTheme="minorHAnsi" w:hAnsiTheme="minorHAnsi" w:cstheme="minorHAnsi"/>
        </w:rPr>
        <w:t>.</w:t>
      </w:r>
      <w:r w:rsidR="00FD7DC3" w:rsidRPr="006D27F3">
        <w:rPr>
          <w:rFonts w:asciiTheme="minorHAnsi" w:hAnsiTheme="minorHAnsi" w:cstheme="minorHAnsi"/>
        </w:rPr>
        <w:t xml:space="preserve"> </w:t>
      </w:r>
      <w:r w:rsidR="00F42228" w:rsidRPr="006D27F3">
        <w:rPr>
          <w:rFonts w:asciiTheme="minorHAnsi" w:hAnsiTheme="minorHAnsi" w:cstheme="minorHAnsi"/>
          <w:b/>
        </w:rPr>
        <w:t xml:space="preserve">“Catch-all” </w:t>
      </w:r>
      <w:r w:rsidR="00FF0669" w:rsidRPr="006D27F3">
        <w:rPr>
          <w:rFonts w:asciiTheme="minorHAnsi" w:hAnsiTheme="minorHAnsi" w:cstheme="minorHAnsi"/>
          <w:b/>
        </w:rPr>
        <w:t>e</w:t>
      </w:r>
      <w:r w:rsidR="00F42228" w:rsidRPr="006D27F3">
        <w:rPr>
          <w:rFonts w:asciiTheme="minorHAnsi" w:hAnsiTheme="minorHAnsi" w:cstheme="minorHAnsi"/>
          <w:b/>
        </w:rPr>
        <w:t>xemption:</w:t>
      </w:r>
      <w:r w:rsidR="00F42228" w:rsidRPr="006D27F3">
        <w:rPr>
          <w:rFonts w:asciiTheme="minorHAnsi" w:hAnsiTheme="minorHAnsi" w:cstheme="minorHAnsi"/>
        </w:rPr>
        <w:t xml:space="preserve"> ORS 192.502(9) incorporates Oregon statutes outside of the </w:t>
      </w:r>
      <w:r w:rsidR="00FF0669" w:rsidRPr="006D27F3">
        <w:rPr>
          <w:rFonts w:asciiTheme="minorHAnsi" w:hAnsiTheme="minorHAnsi" w:cstheme="minorHAnsi"/>
        </w:rPr>
        <w:t>p</w:t>
      </w:r>
      <w:r w:rsidR="00F42228" w:rsidRPr="006D27F3">
        <w:rPr>
          <w:rFonts w:asciiTheme="minorHAnsi" w:hAnsiTheme="minorHAnsi" w:cstheme="minorHAnsi"/>
        </w:rPr>
        <w:t xml:space="preserve">ublic </w:t>
      </w:r>
      <w:r w:rsidR="00FF0669" w:rsidRPr="006D27F3">
        <w:rPr>
          <w:rFonts w:asciiTheme="minorHAnsi" w:hAnsiTheme="minorHAnsi" w:cstheme="minorHAnsi"/>
        </w:rPr>
        <w:t>r</w:t>
      </w:r>
      <w:r w:rsidR="00F42228" w:rsidRPr="006D27F3">
        <w:rPr>
          <w:rFonts w:asciiTheme="minorHAnsi" w:hAnsiTheme="minorHAnsi" w:cstheme="minorHAnsi"/>
        </w:rPr>
        <w:t xml:space="preserve">ecords </w:t>
      </w:r>
      <w:r w:rsidR="00FF0669" w:rsidRPr="006D27F3">
        <w:rPr>
          <w:rFonts w:asciiTheme="minorHAnsi" w:hAnsiTheme="minorHAnsi" w:cstheme="minorHAnsi"/>
        </w:rPr>
        <w:t>l</w:t>
      </w:r>
      <w:r w:rsidR="00F42228" w:rsidRPr="006D27F3">
        <w:rPr>
          <w:rFonts w:asciiTheme="minorHAnsi" w:hAnsiTheme="minorHAnsi" w:cstheme="minorHAnsi"/>
        </w:rPr>
        <w:t>aw that prohibit the public release of certain types of information</w:t>
      </w:r>
      <w:r w:rsidR="0025467E" w:rsidRPr="006D27F3">
        <w:rPr>
          <w:rFonts w:asciiTheme="minorHAnsi" w:hAnsiTheme="minorHAnsi" w:cstheme="minorHAnsi"/>
        </w:rPr>
        <w:t xml:space="preserve"> or records</w:t>
      </w:r>
      <w:r w:rsidR="00F42228" w:rsidRPr="006D27F3">
        <w:rPr>
          <w:rFonts w:asciiTheme="minorHAnsi" w:hAnsiTheme="minorHAnsi" w:cstheme="minorHAnsi"/>
        </w:rPr>
        <w:t>.</w:t>
      </w:r>
      <w:r w:rsidR="00572585" w:rsidRPr="006D27F3">
        <w:rPr>
          <w:rFonts w:asciiTheme="minorHAnsi" w:hAnsiTheme="minorHAnsi" w:cstheme="minorHAnsi"/>
        </w:rPr>
        <w:t xml:space="preserve"> </w:t>
      </w:r>
      <w:r w:rsidR="00F42228" w:rsidRPr="006D27F3">
        <w:rPr>
          <w:rFonts w:asciiTheme="minorHAnsi" w:hAnsiTheme="minorHAnsi" w:cstheme="minorHAnsi"/>
        </w:rPr>
        <w:t>An examination of these statutes is beyond the scope of this policy</w:t>
      </w:r>
      <w:r w:rsidR="0025467E" w:rsidRPr="006D27F3">
        <w:rPr>
          <w:rFonts w:asciiTheme="minorHAnsi" w:hAnsiTheme="minorHAnsi" w:cstheme="minorHAnsi"/>
        </w:rPr>
        <w:t xml:space="preserve">, but please refer to pages </w:t>
      </w:r>
      <w:r w:rsidR="00A340BC" w:rsidRPr="006D27F3">
        <w:rPr>
          <w:rFonts w:asciiTheme="minorHAnsi" w:hAnsiTheme="minorHAnsi" w:cstheme="minorHAnsi"/>
        </w:rPr>
        <w:t xml:space="preserve">15 </w:t>
      </w:r>
      <w:r w:rsidR="0025467E" w:rsidRPr="006D27F3">
        <w:rPr>
          <w:rFonts w:asciiTheme="minorHAnsi" w:hAnsiTheme="minorHAnsi" w:cstheme="minorHAnsi"/>
        </w:rPr>
        <w:t xml:space="preserve">and </w:t>
      </w:r>
      <w:r w:rsidR="00A340BC" w:rsidRPr="006D27F3">
        <w:rPr>
          <w:rFonts w:asciiTheme="minorHAnsi" w:hAnsiTheme="minorHAnsi" w:cstheme="minorHAnsi"/>
        </w:rPr>
        <w:t>16</w:t>
      </w:r>
      <w:r w:rsidR="00DF0A32" w:rsidRPr="006D27F3">
        <w:rPr>
          <w:rFonts w:asciiTheme="minorHAnsi" w:hAnsiTheme="minorHAnsi" w:cstheme="minorHAnsi"/>
        </w:rPr>
        <w:t xml:space="preserve"> of this policy</w:t>
      </w:r>
      <w:r w:rsidR="00F42228" w:rsidRPr="006D27F3">
        <w:rPr>
          <w:rFonts w:asciiTheme="minorHAnsi" w:hAnsiTheme="minorHAnsi" w:cstheme="minorHAnsi"/>
        </w:rPr>
        <w:t>.</w:t>
      </w:r>
    </w:p>
    <w:p w14:paraId="57284C45" w14:textId="77777777" w:rsidR="00F42228" w:rsidRPr="006D27F3" w:rsidRDefault="007B1598" w:rsidP="00FD7DC3">
      <w:pPr>
        <w:spacing w:before="240"/>
        <w:ind w:left="540"/>
        <w:rPr>
          <w:rFonts w:asciiTheme="minorHAnsi" w:hAnsiTheme="minorHAnsi" w:cstheme="minorHAnsi"/>
        </w:rPr>
      </w:pPr>
      <w:r w:rsidRPr="006D27F3">
        <w:rPr>
          <w:rFonts w:asciiTheme="minorHAnsi" w:hAnsiTheme="minorHAnsi" w:cstheme="minorHAnsi"/>
        </w:rPr>
        <w:t>D</w:t>
      </w:r>
      <w:r w:rsidR="00F42228" w:rsidRPr="006D27F3">
        <w:rPr>
          <w:rFonts w:asciiTheme="minorHAnsi" w:hAnsiTheme="minorHAnsi" w:cstheme="minorHAnsi"/>
        </w:rPr>
        <w:t>.</w:t>
      </w:r>
      <w:r w:rsidR="00FD7DC3" w:rsidRPr="006D27F3">
        <w:rPr>
          <w:rFonts w:asciiTheme="minorHAnsi" w:hAnsiTheme="minorHAnsi" w:cstheme="minorHAnsi"/>
        </w:rPr>
        <w:t xml:space="preserve"> </w:t>
      </w:r>
      <w:r w:rsidR="00F42228" w:rsidRPr="006D27F3">
        <w:rPr>
          <w:rFonts w:asciiTheme="minorHAnsi" w:hAnsiTheme="minorHAnsi" w:cstheme="minorHAnsi"/>
          <w:b/>
        </w:rPr>
        <w:t xml:space="preserve">Federal </w:t>
      </w:r>
      <w:r w:rsidR="00FF0669" w:rsidRPr="006D27F3">
        <w:rPr>
          <w:rFonts w:asciiTheme="minorHAnsi" w:hAnsiTheme="minorHAnsi" w:cstheme="minorHAnsi"/>
          <w:b/>
        </w:rPr>
        <w:t>l</w:t>
      </w:r>
      <w:r w:rsidR="00F42228" w:rsidRPr="006D27F3">
        <w:rPr>
          <w:rFonts w:asciiTheme="minorHAnsi" w:hAnsiTheme="minorHAnsi" w:cstheme="minorHAnsi"/>
          <w:b/>
        </w:rPr>
        <w:t xml:space="preserve">aw </w:t>
      </w:r>
      <w:r w:rsidR="00FF0669" w:rsidRPr="006D27F3">
        <w:rPr>
          <w:rFonts w:asciiTheme="minorHAnsi" w:hAnsiTheme="minorHAnsi" w:cstheme="minorHAnsi"/>
          <w:b/>
        </w:rPr>
        <w:t>e</w:t>
      </w:r>
      <w:r w:rsidR="00F42228" w:rsidRPr="006D27F3">
        <w:rPr>
          <w:rFonts w:asciiTheme="minorHAnsi" w:hAnsiTheme="minorHAnsi" w:cstheme="minorHAnsi"/>
          <w:b/>
        </w:rPr>
        <w:t>xemption:</w:t>
      </w:r>
      <w:r w:rsidR="00F42228" w:rsidRPr="006D27F3">
        <w:rPr>
          <w:rFonts w:asciiTheme="minorHAnsi" w:hAnsiTheme="minorHAnsi" w:cstheme="minorHAnsi"/>
        </w:rPr>
        <w:t xml:space="preserve"> ORS 192.502(8) incorporates federal laws that bar the release of </w:t>
      </w:r>
      <w:r w:rsidR="00CA2D19" w:rsidRPr="006D27F3">
        <w:rPr>
          <w:rFonts w:asciiTheme="minorHAnsi" w:hAnsiTheme="minorHAnsi" w:cstheme="minorHAnsi"/>
        </w:rPr>
        <w:t xml:space="preserve">certain types of </w:t>
      </w:r>
      <w:r w:rsidR="0025467E" w:rsidRPr="006D27F3">
        <w:rPr>
          <w:rFonts w:asciiTheme="minorHAnsi" w:hAnsiTheme="minorHAnsi" w:cstheme="minorHAnsi"/>
        </w:rPr>
        <w:t xml:space="preserve">information or </w:t>
      </w:r>
      <w:r w:rsidR="00F42228" w:rsidRPr="006D27F3">
        <w:rPr>
          <w:rFonts w:asciiTheme="minorHAnsi" w:hAnsiTheme="minorHAnsi" w:cstheme="minorHAnsi"/>
        </w:rPr>
        <w:t>records.</w:t>
      </w:r>
      <w:r w:rsidR="00572585" w:rsidRPr="006D27F3">
        <w:rPr>
          <w:rFonts w:asciiTheme="minorHAnsi" w:hAnsiTheme="minorHAnsi" w:cstheme="minorHAnsi"/>
        </w:rPr>
        <w:t xml:space="preserve"> </w:t>
      </w:r>
      <w:r w:rsidR="00F42228" w:rsidRPr="006D27F3">
        <w:rPr>
          <w:rFonts w:asciiTheme="minorHAnsi" w:hAnsiTheme="minorHAnsi" w:cstheme="minorHAnsi"/>
        </w:rPr>
        <w:t xml:space="preserve">An examination of these </w:t>
      </w:r>
      <w:r w:rsidR="00CA2D19" w:rsidRPr="006D27F3">
        <w:rPr>
          <w:rFonts w:asciiTheme="minorHAnsi" w:hAnsiTheme="minorHAnsi" w:cstheme="minorHAnsi"/>
        </w:rPr>
        <w:t>laws</w:t>
      </w:r>
      <w:r w:rsidR="00F42228" w:rsidRPr="006D27F3">
        <w:rPr>
          <w:rFonts w:asciiTheme="minorHAnsi" w:hAnsiTheme="minorHAnsi" w:cstheme="minorHAnsi"/>
        </w:rPr>
        <w:t xml:space="preserve"> is beyond the scope of this policy</w:t>
      </w:r>
      <w:r w:rsidR="0025467E" w:rsidRPr="006D27F3">
        <w:rPr>
          <w:rFonts w:asciiTheme="minorHAnsi" w:hAnsiTheme="minorHAnsi" w:cstheme="minorHAnsi"/>
        </w:rPr>
        <w:t xml:space="preserve">, but please refer to pages </w:t>
      </w:r>
      <w:r w:rsidR="00FD7DC3" w:rsidRPr="006D27F3">
        <w:rPr>
          <w:rFonts w:asciiTheme="minorHAnsi" w:hAnsiTheme="minorHAnsi" w:cstheme="minorHAnsi"/>
        </w:rPr>
        <w:t>15</w:t>
      </w:r>
      <w:r w:rsidR="0025467E" w:rsidRPr="006D27F3">
        <w:rPr>
          <w:rFonts w:asciiTheme="minorHAnsi" w:hAnsiTheme="minorHAnsi" w:cstheme="minorHAnsi"/>
        </w:rPr>
        <w:t xml:space="preserve"> and </w:t>
      </w:r>
      <w:r w:rsidR="00FD7DC3" w:rsidRPr="006D27F3">
        <w:rPr>
          <w:rFonts w:asciiTheme="minorHAnsi" w:hAnsiTheme="minorHAnsi" w:cstheme="minorHAnsi"/>
        </w:rPr>
        <w:t>16</w:t>
      </w:r>
      <w:r w:rsidR="00DF0A32" w:rsidRPr="006D27F3">
        <w:rPr>
          <w:rFonts w:asciiTheme="minorHAnsi" w:hAnsiTheme="minorHAnsi" w:cstheme="minorHAnsi"/>
        </w:rPr>
        <w:t xml:space="preserve"> of this policy</w:t>
      </w:r>
      <w:r w:rsidR="00F42228" w:rsidRPr="006D27F3">
        <w:rPr>
          <w:rFonts w:asciiTheme="minorHAnsi" w:hAnsiTheme="minorHAnsi" w:cstheme="minorHAnsi"/>
        </w:rPr>
        <w:t>.</w:t>
      </w:r>
    </w:p>
    <w:p w14:paraId="57284C46" w14:textId="77777777" w:rsidR="0025467E" w:rsidRPr="00F970BD" w:rsidRDefault="007B1598" w:rsidP="00FD7DC3">
      <w:pPr>
        <w:spacing w:before="240"/>
        <w:ind w:left="540"/>
        <w:rPr>
          <w:rFonts w:asciiTheme="minorHAnsi" w:hAnsiTheme="minorHAnsi" w:cstheme="minorHAnsi"/>
        </w:rPr>
      </w:pPr>
      <w:r w:rsidRPr="006D27F3">
        <w:rPr>
          <w:rFonts w:asciiTheme="minorHAnsi" w:hAnsiTheme="minorHAnsi" w:cstheme="minorHAnsi"/>
        </w:rPr>
        <w:t>E</w:t>
      </w:r>
      <w:r w:rsidR="0025467E" w:rsidRPr="006D27F3">
        <w:rPr>
          <w:rFonts w:asciiTheme="minorHAnsi" w:hAnsiTheme="minorHAnsi" w:cstheme="minorHAnsi"/>
        </w:rPr>
        <w:t>.</w:t>
      </w:r>
      <w:r w:rsidR="00FD7DC3" w:rsidRPr="006D27F3">
        <w:rPr>
          <w:rFonts w:asciiTheme="minorHAnsi" w:hAnsiTheme="minorHAnsi" w:cstheme="minorHAnsi"/>
        </w:rPr>
        <w:t xml:space="preserve"> </w:t>
      </w:r>
      <w:r w:rsidR="0025467E" w:rsidRPr="006D27F3">
        <w:rPr>
          <w:rFonts w:asciiTheme="minorHAnsi" w:hAnsiTheme="minorHAnsi" w:cstheme="minorHAnsi"/>
          <w:b/>
        </w:rPr>
        <w:t xml:space="preserve">Security </w:t>
      </w:r>
      <w:r w:rsidR="00FF0669" w:rsidRPr="006D27F3">
        <w:rPr>
          <w:rFonts w:asciiTheme="minorHAnsi" w:hAnsiTheme="minorHAnsi" w:cstheme="minorHAnsi"/>
          <w:b/>
        </w:rPr>
        <w:t>r</w:t>
      </w:r>
      <w:r w:rsidR="0025467E" w:rsidRPr="006D27F3">
        <w:rPr>
          <w:rFonts w:asciiTheme="minorHAnsi" w:hAnsiTheme="minorHAnsi" w:cstheme="minorHAnsi"/>
          <w:b/>
        </w:rPr>
        <w:t>eport:</w:t>
      </w:r>
      <w:r w:rsidR="0025467E" w:rsidRPr="006D27F3">
        <w:rPr>
          <w:rFonts w:asciiTheme="minorHAnsi" w:hAnsiTheme="minorHAnsi" w:cstheme="minorHAnsi"/>
        </w:rPr>
        <w:t xml:space="preserve"> ORS 461.180(6) provides for a comprehensive study and evaluation of all aspects of security in the operation of the state </w:t>
      </w:r>
      <w:r w:rsidR="00B2185F">
        <w:rPr>
          <w:rFonts w:asciiTheme="minorHAnsi" w:hAnsiTheme="minorHAnsi" w:cstheme="minorHAnsi"/>
        </w:rPr>
        <w:t>[AGENCY]</w:t>
      </w:r>
      <w:r w:rsidR="0025467E" w:rsidRPr="006D27F3">
        <w:rPr>
          <w:rFonts w:asciiTheme="minorHAnsi" w:hAnsiTheme="minorHAnsi" w:cstheme="minorHAnsi"/>
        </w:rPr>
        <w:t>, and “notwithstanding other provisions of state law, the portion of the report containing specific recommendations shall be confidential and shall be presented only to the commission, the governor and the director.”</w:t>
      </w:r>
    </w:p>
    <w:p w14:paraId="57284C47" w14:textId="77777777" w:rsidR="00A526A3" w:rsidRPr="00F970BD" w:rsidRDefault="00A526A3" w:rsidP="0005640B">
      <w:pPr>
        <w:pStyle w:val="BodyText"/>
        <w:jc w:val="left"/>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C48" w14:textId="77777777" w:rsidR="0060798C" w:rsidRPr="00F970BD" w:rsidRDefault="0060798C" w:rsidP="0005640B">
      <w:pPr>
        <w:spacing w:before="240"/>
        <w:rPr>
          <w:rFonts w:asciiTheme="minorHAnsi" w:hAnsiTheme="minorHAnsi" w:cstheme="minorHAnsi"/>
          <w:bCs/>
        </w:rPr>
      </w:pPr>
      <w:r w:rsidRPr="00F970BD">
        <w:rPr>
          <w:rFonts w:asciiTheme="minorHAnsi" w:hAnsiTheme="minorHAnsi" w:cstheme="minorHAnsi"/>
          <w:b/>
        </w:rPr>
        <w:t>References:</w:t>
      </w:r>
      <w:r w:rsidRPr="00F970BD">
        <w:rPr>
          <w:rFonts w:asciiTheme="minorHAnsi" w:hAnsiTheme="minorHAnsi" w:cstheme="minorHAnsi"/>
          <w:bCs/>
        </w:rPr>
        <w:tab/>
        <w:t>ORS Chapter 192</w:t>
      </w:r>
    </w:p>
    <w:p w14:paraId="57284C49" w14:textId="77777777" w:rsidR="00275CCD" w:rsidRPr="00F970BD" w:rsidRDefault="00275CCD" w:rsidP="0005640B">
      <w:pPr>
        <w:ind w:left="1440"/>
        <w:rPr>
          <w:rFonts w:asciiTheme="minorHAnsi" w:hAnsiTheme="minorHAnsi" w:cstheme="minorHAnsi"/>
        </w:rPr>
      </w:pPr>
      <w:r w:rsidRPr="00F970BD">
        <w:rPr>
          <w:rFonts w:asciiTheme="minorHAnsi" w:hAnsiTheme="minorHAnsi" w:cstheme="minorHAnsi"/>
        </w:rPr>
        <w:t xml:space="preserve">OAR 166-030-0060 </w:t>
      </w:r>
      <w:r w:rsidR="00BD315F" w:rsidRPr="00F970BD">
        <w:rPr>
          <w:rFonts w:asciiTheme="minorHAnsi" w:hAnsiTheme="minorHAnsi" w:cstheme="minorHAnsi"/>
        </w:rPr>
        <w:t xml:space="preserve">- </w:t>
      </w:r>
      <w:r w:rsidRPr="00F970BD">
        <w:rPr>
          <w:rFonts w:asciiTheme="minorHAnsi" w:hAnsiTheme="minorHAnsi" w:cstheme="minorHAnsi"/>
        </w:rPr>
        <w:t>Public Records Disposition and Destruction</w:t>
      </w:r>
    </w:p>
    <w:p w14:paraId="57284C4A" w14:textId="77777777" w:rsidR="00BD315F" w:rsidRPr="00F970BD" w:rsidRDefault="00BD315F" w:rsidP="0005640B">
      <w:pPr>
        <w:ind w:left="1440"/>
        <w:rPr>
          <w:rFonts w:asciiTheme="minorHAnsi" w:hAnsiTheme="minorHAnsi" w:cstheme="minorHAnsi"/>
        </w:rPr>
      </w:pPr>
      <w:r w:rsidRPr="00F970BD">
        <w:rPr>
          <w:rFonts w:asciiTheme="minorHAnsi" w:hAnsiTheme="minorHAnsi" w:cstheme="minorHAnsi"/>
        </w:rPr>
        <w:t xml:space="preserve">Oregon State </w:t>
      </w:r>
      <w:r w:rsidR="00B2185F">
        <w:rPr>
          <w:rFonts w:asciiTheme="minorHAnsi" w:hAnsiTheme="minorHAnsi" w:cstheme="minorHAnsi"/>
        </w:rPr>
        <w:t>[AGENCY]</w:t>
      </w:r>
      <w:r w:rsidRPr="00F970BD">
        <w:rPr>
          <w:rFonts w:asciiTheme="minorHAnsi" w:hAnsiTheme="minorHAnsi" w:cstheme="minorHAnsi"/>
        </w:rPr>
        <w:t xml:space="preserve"> Records Retention Schedule</w:t>
      </w:r>
    </w:p>
    <w:p w14:paraId="57284C4B" w14:textId="77777777" w:rsidR="0060798C" w:rsidRPr="00F970BD" w:rsidRDefault="0060798C" w:rsidP="0005640B">
      <w:pPr>
        <w:ind w:left="1440"/>
        <w:rPr>
          <w:rFonts w:asciiTheme="minorHAnsi" w:hAnsiTheme="minorHAnsi" w:cstheme="minorHAnsi"/>
        </w:rPr>
      </w:pPr>
      <w:r w:rsidRPr="00F970BD">
        <w:rPr>
          <w:rFonts w:asciiTheme="minorHAnsi" w:hAnsiTheme="minorHAnsi" w:cstheme="minorHAnsi"/>
        </w:rPr>
        <w:t>The Oregon Attorney General’s Public Records and Meetings Manual</w:t>
      </w:r>
    </w:p>
    <w:p w14:paraId="57284C4C" w14:textId="77777777" w:rsidR="0060798C" w:rsidRPr="00F970BD" w:rsidRDefault="0060798C" w:rsidP="0005640B">
      <w:pPr>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C4D" w14:textId="77777777" w:rsidR="00B82282" w:rsidRPr="00F970BD" w:rsidRDefault="00B82282" w:rsidP="0005640B">
      <w:pPr>
        <w:spacing w:before="240"/>
        <w:rPr>
          <w:rFonts w:asciiTheme="minorHAnsi" w:hAnsiTheme="minorHAnsi" w:cstheme="minorHAnsi"/>
        </w:rPr>
      </w:pPr>
      <w:r w:rsidRPr="00F970BD">
        <w:rPr>
          <w:rFonts w:asciiTheme="minorHAnsi" w:hAnsiTheme="minorHAnsi" w:cstheme="minorHAnsi"/>
          <w:b/>
        </w:rPr>
        <w:t>Attachment:</w:t>
      </w:r>
      <w:r w:rsidR="004104EF" w:rsidRPr="00F970BD">
        <w:rPr>
          <w:rFonts w:asciiTheme="minorHAnsi" w:hAnsiTheme="minorHAnsi" w:cstheme="minorHAnsi"/>
          <w:b/>
        </w:rPr>
        <w:tab/>
      </w:r>
      <w:r w:rsidRPr="00F970BD">
        <w:rPr>
          <w:rFonts w:asciiTheme="minorHAnsi" w:hAnsiTheme="minorHAnsi" w:cstheme="minorHAnsi"/>
        </w:rPr>
        <w:t>Summary of Public Records Law</w:t>
      </w:r>
    </w:p>
    <w:p w14:paraId="57284C4E" w14:textId="77777777" w:rsidR="007D2AF8" w:rsidRPr="00F970BD" w:rsidRDefault="007D2AF8" w:rsidP="0005640B">
      <w:pPr>
        <w:pStyle w:val="BodyText"/>
        <w:jc w:val="left"/>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C4F" w14:textId="77777777" w:rsidR="0060798C" w:rsidRPr="00F970BD" w:rsidRDefault="0060798C" w:rsidP="0005640B">
      <w:pPr>
        <w:tabs>
          <w:tab w:val="left" w:pos="360"/>
        </w:tabs>
        <w:spacing w:before="240"/>
        <w:jc w:val="center"/>
        <w:rPr>
          <w:rFonts w:asciiTheme="minorHAnsi" w:hAnsiTheme="minorHAnsi" w:cstheme="minorHAnsi"/>
          <w:b/>
        </w:rPr>
      </w:pPr>
      <w:r w:rsidRPr="00F970BD">
        <w:rPr>
          <w:rFonts w:asciiTheme="minorHAnsi" w:hAnsiTheme="minorHAnsi" w:cstheme="minorHAnsi"/>
          <w:b/>
        </w:rPr>
        <w:br w:type="page"/>
        <w:t>ATTACHMENT</w:t>
      </w:r>
    </w:p>
    <w:p w14:paraId="57284C50" w14:textId="77777777" w:rsidR="0060798C" w:rsidRPr="00FD7DC3" w:rsidRDefault="0060798C" w:rsidP="0005640B">
      <w:pPr>
        <w:pBdr>
          <w:top w:val="single" w:sz="4" w:space="1" w:color="auto"/>
          <w:left w:val="single" w:sz="4" w:space="4" w:color="auto"/>
          <w:bottom w:val="single" w:sz="4" w:space="1" w:color="auto"/>
          <w:right w:val="single" w:sz="4" w:space="4" w:color="auto"/>
        </w:pBdr>
        <w:tabs>
          <w:tab w:val="left" w:pos="360"/>
        </w:tabs>
        <w:spacing w:before="240"/>
        <w:rPr>
          <w:rFonts w:asciiTheme="minorHAnsi" w:hAnsiTheme="minorHAnsi" w:cstheme="minorHAnsi"/>
        </w:rPr>
      </w:pPr>
      <w:r w:rsidRPr="00FD7DC3">
        <w:rPr>
          <w:rFonts w:asciiTheme="minorHAnsi" w:hAnsiTheme="minorHAnsi" w:cstheme="minorHAnsi"/>
        </w:rPr>
        <w:t xml:space="preserve">The following is a general summary </w:t>
      </w:r>
      <w:r w:rsidR="00292738" w:rsidRPr="00FD7DC3">
        <w:rPr>
          <w:rFonts w:asciiTheme="minorHAnsi" w:hAnsiTheme="minorHAnsi" w:cstheme="minorHAnsi"/>
        </w:rPr>
        <w:t xml:space="preserve">based upon materials found in the “Attorney General’s Public Records and Meetings Manual” Copyright </w:t>
      </w:r>
      <w:r w:rsidR="00197B72" w:rsidRPr="00FD7DC3">
        <w:rPr>
          <w:rFonts w:asciiTheme="minorHAnsi" w:hAnsiTheme="minorHAnsi" w:cstheme="minorHAnsi"/>
        </w:rPr>
        <w:t>2014</w:t>
      </w:r>
      <w:r w:rsidR="00292738" w:rsidRPr="00FD7DC3">
        <w:rPr>
          <w:rFonts w:asciiTheme="minorHAnsi" w:hAnsiTheme="minorHAnsi" w:cstheme="minorHAnsi"/>
        </w:rPr>
        <w:t>.</w:t>
      </w:r>
      <w:r w:rsidR="00572585" w:rsidRPr="00FD7DC3">
        <w:rPr>
          <w:rFonts w:asciiTheme="minorHAnsi" w:hAnsiTheme="minorHAnsi" w:cstheme="minorHAnsi"/>
        </w:rPr>
        <w:t xml:space="preserve"> </w:t>
      </w:r>
      <w:r w:rsidR="00292738" w:rsidRPr="00FD7DC3">
        <w:rPr>
          <w:rFonts w:asciiTheme="minorHAnsi" w:hAnsiTheme="minorHAnsi" w:cstheme="minorHAnsi"/>
        </w:rPr>
        <w:t xml:space="preserve">This attachment contains </w:t>
      </w:r>
      <w:r w:rsidRPr="00FD7DC3">
        <w:rPr>
          <w:rFonts w:asciiTheme="minorHAnsi" w:hAnsiTheme="minorHAnsi" w:cstheme="minorHAnsi"/>
        </w:rPr>
        <w:t xml:space="preserve">highlights of some of the different areas of public records law as it may affect the Oregon </w:t>
      </w:r>
      <w:r w:rsidR="00EB0A97" w:rsidRPr="00FD7DC3">
        <w:rPr>
          <w:rFonts w:asciiTheme="minorHAnsi" w:hAnsiTheme="minorHAnsi" w:cstheme="minorHAnsi"/>
        </w:rPr>
        <w:t xml:space="preserve">State </w:t>
      </w:r>
      <w:r w:rsidR="00B2185F">
        <w:rPr>
          <w:rFonts w:asciiTheme="minorHAnsi" w:hAnsiTheme="minorHAnsi" w:cstheme="minorHAnsi"/>
        </w:rPr>
        <w:t>[AGENCY]</w:t>
      </w:r>
      <w:r w:rsidRPr="00FD7DC3">
        <w:rPr>
          <w:rFonts w:asciiTheme="minorHAnsi" w:hAnsiTheme="minorHAnsi" w:cstheme="minorHAnsi"/>
        </w:rPr>
        <w:t>.</w:t>
      </w:r>
      <w:r w:rsidR="00572585" w:rsidRPr="00FD7DC3">
        <w:rPr>
          <w:rFonts w:asciiTheme="minorHAnsi" w:hAnsiTheme="minorHAnsi" w:cstheme="minorHAnsi"/>
        </w:rPr>
        <w:t xml:space="preserve"> </w:t>
      </w:r>
      <w:r w:rsidRPr="00FD7DC3">
        <w:rPr>
          <w:rFonts w:asciiTheme="minorHAnsi" w:hAnsiTheme="minorHAnsi" w:cstheme="minorHAnsi"/>
        </w:rPr>
        <w:t>This is intended to be a general summary and to alert employees to some of the areas that can cause issues, and will be updated as legislation or court cases revise the public records law.</w:t>
      </w:r>
    </w:p>
    <w:p w14:paraId="57284C51" w14:textId="77777777" w:rsidR="004D1A3E" w:rsidRPr="00F970BD" w:rsidRDefault="004D1A3E" w:rsidP="0005640B">
      <w:pPr>
        <w:tabs>
          <w:tab w:val="left" w:pos="360"/>
        </w:tabs>
        <w:spacing w:before="240"/>
        <w:rPr>
          <w:rFonts w:asciiTheme="minorHAnsi" w:hAnsiTheme="minorHAnsi" w:cstheme="minorHAnsi"/>
        </w:rPr>
      </w:pPr>
      <w:r w:rsidRPr="00F970BD">
        <w:rPr>
          <w:rFonts w:asciiTheme="minorHAnsi" w:hAnsiTheme="minorHAnsi" w:cstheme="minorHAnsi"/>
          <w:b/>
        </w:rPr>
        <w:t xml:space="preserve">The </w:t>
      </w:r>
      <w:r w:rsidR="00FF0669" w:rsidRPr="00F970BD">
        <w:rPr>
          <w:rFonts w:asciiTheme="minorHAnsi" w:hAnsiTheme="minorHAnsi" w:cstheme="minorHAnsi"/>
          <w:b/>
        </w:rPr>
        <w:t>c</w:t>
      </w:r>
      <w:r w:rsidR="006C17A8" w:rsidRPr="00F970BD">
        <w:rPr>
          <w:rFonts w:asciiTheme="minorHAnsi" w:hAnsiTheme="minorHAnsi" w:cstheme="minorHAnsi"/>
          <w:b/>
        </w:rPr>
        <w:t xml:space="preserve">onditional </w:t>
      </w:r>
      <w:r w:rsidR="00FF0669" w:rsidRPr="00F970BD">
        <w:rPr>
          <w:rFonts w:asciiTheme="minorHAnsi" w:hAnsiTheme="minorHAnsi" w:cstheme="minorHAnsi"/>
          <w:b/>
        </w:rPr>
        <w:t>e</w:t>
      </w:r>
      <w:r w:rsidR="006C17A8" w:rsidRPr="00F970BD">
        <w:rPr>
          <w:rFonts w:asciiTheme="minorHAnsi" w:hAnsiTheme="minorHAnsi" w:cstheme="minorHAnsi"/>
          <w:b/>
        </w:rPr>
        <w:t>xemptions</w:t>
      </w:r>
      <w:r w:rsidRPr="00F970BD">
        <w:rPr>
          <w:rFonts w:asciiTheme="minorHAnsi" w:hAnsiTheme="minorHAnsi" w:cstheme="minorHAnsi"/>
          <w:b/>
        </w:rPr>
        <w:t xml:space="preserve"> of ORS 192.501</w:t>
      </w:r>
      <w:r w:rsidR="006C17A8" w:rsidRPr="00F970BD">
        <w:rPr>
          <w:rFonts w:asciiTheme="minorHAnsi" w:hAnsiTheme="minorHAnsi" w:cstheme="minorHAnsi"/>
          <w:b/>
        </w:rPr>
        <w:t>:</w:t>
      </w:r>
      <w:r w:rsidR="006C17A8" w:rsidRPr="00F970BD">
        <w:rPr>
          <w:rFonts w:asciiTheme="minorHAnsi" w:hAnsiTheme="minorHAnsi" w:cstheme="minorHAnsi"/>
        </w:rPr>
        <w:t xml:space="preserve"> Each of the exemptions listed in ORS 192.501 exempts specific types of records or information </w:t>
      </w:r>
      <w:r w:rsidR="00A526A3" w:rsidRPr="00F970BD">
        <w:rPr>
          <w:rFonts w:asciiTheme="minorHAnsi" w:hAnsiTheme="minorHAnsi" w:cstheme="minorHAnsi"/>
        </w:rPr>
        <w:t xml:space="preserve">from disclosure </w:t>
      </w:r>
      <w:r w:rsidR="006C17A8" w:rsidRPr="00F970BD">
        <w:rPr>
          <w:rFonts w:asciiTheme="minorHAnsi" w:hAnsiTheme="minorHAnsi" w:cstheme="minorHAnsi"/>
        </w:rPr>
        <w:t>“unless the public interest requires disclosure in the particular instance.”</w:t>
      </w:r>
      <w:r w:rsidR="00572585" w:rsidRPr="00F970BD">
        <w:rPr>
          <w:rFonts w:asciiTheme="minorHAnsi" w:hAnsiTheme="minorHAnsi" w:cstheme="minorHAnsi"/>
        </w:rPr>
        <w:t xml:space="preserve"> </w:t>
      </w:r>
      <w:r w:rsidR="006C17A8" w:rsidRPr="00F970BD">
        <w:rPr>
          <w:rFonts w:asciiTheme="minorHAnsi" w:hAnsiTheme="minorHAnsi" w:cstheme="minorHAnsi"/>
        </w:rPr>
        <w:t>This requires a balancing test on a case-by-case basis.</w:t>
      </w:r>
      <w:r w:rsidR="00572585" w:rsidRPr="00F970BD">
        <w:rPr>
          <w:rFonts w:asciiTheme="minorHAnsi" w:hAnsiTheme="minorHAnsi" w:cstheme="minorHAnsi"/>
        </w:rPr>
        <w:t xml:space="preserve"> </w:t>
      </w:r>
      <w:r w:rsidRPr="00F970BD">
        <w:rPr>
          <w:rFonts w:asciiTheme="minorHAnsi" w:hAnsiTheme="minorHAnsi" w:cstheme="minorHAnsi"/>
        </w:rPr>
        <w:t>The policy underlying the conditional exemptions is that disclosure decisions should be based on balancing those public interests that favor the disclosure of governmental records against those public interests that favor government confidentiality, with the presumption always being in favor of disclosure.</w:t>
      </w:r>
      <w:r w:rsidR="00572585" w:rsidRPr="00F970BD">
        <w:rPr>
          <w:rFonts w:asciiTheme="minorHAnsi" w:hAnsiTheme="minorHAnsi" w:cstheme="minorHAnsi"/>
        </w:rPr>
        <w:t xml:space="preserve"> </w:t>
      </w:r>
      <w:r w:rsidRPr="00F970BD">
        <w:rPr>
          <w:rFonts w:asciiTheme="minorHAnsi" w:hAnsiTheme="minorHAnsi" w:cstheme="minorHAnsi"/>
        </w:rPr>
        <w:t xml:space="preserve">The </w:t>
      </w:r>
      <w:r w:rsidR="00B2185F">
        <w:rPr>
          <w:rFonts w:asciiTheme="minorHAnsi" w:hAnsiTheme="minorHAnsi" w:cstheme="minorHAnsi"/>
        </w:rPr>
        <w:t>[AGENCY]</w:t>
      </w:r>
      <w:r w:rsidRPr="00F970BD">
        <w:rPr>
          <w:rFonts w:asciiTheme="minorHAnsi" w:hAnsiTheme="minorHAnsi" w:cstheme="minorHAnsi"/>
        </w:rPr>
        <w:t xml:space="preserve"> will consult with the </w:t>
      </w:r>
      <w:r w:rsidR="00A76111">
        <w:rPr>
          <w:rFonts w:asciiTheme="minorHAnsi" w:hAnsiTheme="minorHAnsi" w:cstheme="minorHAnsi"/>
        </w:rPr>
        <w:t>Oregon a</w:t>
      </w:r>
      <w:r w:rsidR="00EE1EB3" w:rsidRPr="00F970BD">
        <w:rPr>
          <w:rFonts w:asciiTheme="minorHAnsi" w:hAnsiTheme="minorHAnsi" w:cstheme="minorHAnsi"/>
        </w:rPr>
        <w:t xml:space="preserve">ttorney </w:t>
      </w:r>
      <w:r w:rsidR="00A76111">
        <w:rPr>
          <w:rFonts w:asciiTheme="minorHAnsi" w:hAnsiTheme="minorHAnsi" w:cstheme="minorHAnsi"/>
        </w:rPr>
        <w:t>g</w:t>
      </w:r>
      <w:r w:rsidR="00EE1EB3" w:rsidRPr="00F970BD">
        <w:rPr>
          <w:rFonts w:asciiTheme="minorHAnsi" w:hAnsiTheme="minorHAnsi" w:cstheme="minorHAnsi"/>
        </w:rPr>
        <w:t>eneral in such cases</w:t>
      </w:r>
      <w:r w:rsidR="00F42228" w:rsidRPr="00F970BD">
        <w:rPr>
          <w:rFonts w:asciiTheme="minorHAnsi" w:hAnsiTheme="minorHAnsi" w:cstheme="minorHAnsi"/>
        </w:rPr>
        <w:t xml:space="preserve"> because the outright release of such information could subject the </w:t>
      </w:r>
      <w:r w:rsidR="00B2185F">
        <w:rPr>
          <w:rFonts w:asciiTheme="minorHAnsi" w:hAnsiTheme="minorHAnsi" w:cstheme="minorHAnsi"/>
        </w:rPr>
        <w:t>[AGENCY]</w:t>
      </w:r>
      <w:r w:rsidR="00F42228" w:rsidRPr="00F970BD">
        <w:rPr>
          <w:rFonts w:asciiTheme="minorHAnsi" w:hAnsiTheme="minorHAnsi" w:cstheme="minorHAnsi"/>
        </w:rPr>
        <w:t xml:space="preserve"> to claims of liability for damages or claims for declaratory or injunctive relief.</w:t>
      </w:r>
    </w:p>
    <w:p w14:paraId="57284C52" w14:textId="77777777" w:rsidR="006C17A8" w:rsidRPr="00F970BD" w:rsidRDefault="00EE1EB3" w:rsidP="0005640B">
      <w:pPr>
        <w:tabs>
          <w:tab w:val="left" w:pos="360"/>
        </w:tabs>
        <w:spacing w:before="240"/>
        <w:rPr>
          <w:rFonts w:asciiTheme="minorHAnsi" w:hAnsiTheme="minorHAnsi" w:cstheme="minorHAnsi"/>
        </w:rPr>
      </w:pPr>
      <w:r w:rsidRPr="00F970BD">
        <w:rPr>
          <w:rFonts w:asciiTheme="minorHAnsi" w:hAnsiTheme="minorHAnsi" w:cstheme="minorHAnsi"/>
        </w:rPr>
        <w:t xml:space="preserve">Only the exemptions listed in ORS 192.501 that apply to the </w:t>
      </w:r>
      <w:r w:rsidR="00B2185F">
        <w:rPr>
          <w:rFonts w:asciiTheme="minorHAnsi" w:hAnsiTheme="minorHAnsi" w:cstheme="minorHAnsi"/>
        </w:rPr>
        <w:t>[AGENCY]</w:t>
      </w:r>
      <w:r w:rsidRPr="00F970BD">
        <w:rPr>
          <w:rFonts w:asciiTheme="minorHAnsi" w:hAnsiTheme="minorHAnsi" w:cstheme="minorHAnsi"/>
        </w:rPr>
        <w:t xml:space="preserve"> are listed here.</w:t>
      </w:r>
      <w:r w:rsidR="00572585" w:rsidRPr="00F970BD">
        <w:rPr>
          <w:rFonts w:asciiTheme="minorHAnsi" w:hAnsiTheme="minorHAnsi" w:cstheme="minorHAnsi"/>
        </w:rPr>
        <w:t xml:space="preserve"> </w:t>
      </w:r>
      <w:r w:rsidRPr="00F970BD">
        <w:rPr>
          <w:rFonts w:asciiTheme="minorHAnsi" w:hAnsiTheme="minorHAnsi" w:cstheme="minorHAnsi"/>
        </w:rPr>
        <w:t>The complete li</w:t>
      </w:r>
      <w:r w:rsidR="004D1A3E" w:rsidRPr="00F970BD">
        <w:rPr>
          <w:rFonts w:asciiTheme="minorHAnsi" w:hAnsiTheme="minorHAnsi" w:cstheme="minorHAnsi"/>
        </w:rPr>
        <w:t>st is contained in the statute.</w:t>
      </w:r>
    </w:p>
    <w:p w14:paraId="57284C53" w14:textId="77777777" w:rsidR="006C17A8" w:rsidRPr="00F970BD" w:rsidRDefault="00A526A3" w:rsidP="00FD7DC3">
      <w:pPr>
        <w:spacing w:before="240"/>
        <w:ind w:left="540"/>
        <w:rPr>
          <w:rFonts w:asciiTheme="minorHAnsi" w:hAnsiTheme="minorHAnsi" w:cstheme="minorHAnsi"/>
        </w:rPr>
      </w:pPr>
      <w:r w:rsidRPr="00A20469">
        <w:rPr>
          <w:rFonts w:asciiTheme="minorHAnsi" w:hAnsiTheme="minorHAnsi" w:cstheme="minorHAnsi"/>
          <w:b/>
        </w:rPr>
        <w:t>1</w:t>
      </w:r>
      <w:r w:rsidR="00F5487D" w:rsidRPr="00A20469">
        <w:rPr>
          <w:rFonts w:asciiTheme="minorHAnsi" w:hAnsiTheme="minorHAnsi" w:cstheme="minorHAnsi"/>
          <w:b/>
        </w:rPr>
        <w:t>.</w:t>
      </w:r>
      <w:r w:rsidR="00FD7DC3" w:rsidRPr="00A20469">
        <w:rPr>
          <w:rFonts w:asciiTheme="minorHAnsi" w:hAnsiTheme="minorHAnsi" w:cstheme="minorHAnsi"/>
          <w:b/>
        </w:rPr>
        <w:t xml:space="preserve"> </w:t>
      </w:r>
      <w:r w:rsidR="006C17A8" w:rsidRPr="00F970BD">
        <w:rPr>
          <w:rFonts w:asciiTheme="minorHAnsi" w:hAnsiTheme="minorHAnsi" w:cstheme="minorHAnsi"/>
          <w:b/>
        </w:rPr>
        <w:t xml:space="preserve">Public </w:t>
      </w:r>
      <w:r w:rsidR="00FF0669" w:rsidRPr="00F970BD">
        <w:rPr>
          <w:rFonts w:asciiTheme="minorHAnsi" w:hAnsiTheme="minorHAnsi" w:cstheme="minorHAnsi"/>
          <w:b/>
        </w:rPr>
        <w:t>r</w:t>
      </w:r>
      <w:r w:rsidR="006C17A8" w:rsidRPr="00F970BD">
        <w:rPr>
          <w:rFonts w:asciiTheme="minorHAnsi" w:hAnsiTheme="minorHAnsi" w:cstheme="minorHAnsi"/>
          <w:b/>
        </w:rPr>
        <w:t xml:space="preserve">ecords </w:t>
      </w:r>
      <w:r w:rsidR="00FF0669" w:rsidRPr="00F970BD">
        <w:rPr>
          <w:rFonts w:asciiTheme="minorHAnsi" w:hAnsiTheme="minorHAnsi" w:cstheme="minorHAnsi"/>
          <w:b/>
        </w:rPr>
        <w:t>p</w:t>
      </w:r>
      <w:r w:rsidR="006C17A8" w:rsidRPr="00F970BD">
        <w:rPr>
          <w:rFonts w:asciiTheme="minorHAnsi" w:hAnsiTheme="minorHAnsi" w:cstheme="minorHAnsi"/>
          <w:b/>
        </w:rPr>
        <w:t xml:space="preserve">ertaining to </w:t>
      </w:r>
      <w:r w:rsidR="00FF0669" w:rsidRPr="00F970BD">
        <w:rPr>
          <w:rFonts w:asciiTheme="minorHAnsi" w:hAnsiTheme="minorHAnsi" w:cstheme="minorHAnsi"/>
          <w:b/>
        </w:rPr>
        <w:t>l</w:t>
      </w:r>
      <w:r w:rsidR="006C17A8" w:rsidRPr="00F970BD">
        <w:rPr>
          <w:rFonts w:asciiTheme="minorHAnsi" w:hAnsiTheme="minorHAnsi" w:cstheme="minorHAnsi"/>
          <w:b/>
        </w:rPr>
        <w:t>itigation:</w:t>
      </w:r>
      <w:r w:rsidR="006C17A8" w:rsidRPr="00F970BD">
        <w:rPr>
          <w:rFonts w:asciiTheme="minorHAnsi" w:hAnsiTheme="minorHAnsi" w:cstheme="minorHAnsi"/>
        </w:rPr>
        <w:t xml:space="preserve"> Public records pertaining to court litigation to which the public body is a party are conditionally exempt under ORS 192.501(1).</w:t>
      </w:r>
      <w:r w:rsidR="00572585" w:rsidRPr="00F970BD">
        <w:rPr>
          <w:rFonts w:asciiTheme="minorHAnsi" w:hAnsiTheme="minorHAnsi" w:cstheme="minorHAnsi"/>
        </w:rPr>
        <w:t xml:space="preserve"> </w:t>
      </w:r>
      <w:r w:rsidR="006C17A8" w:rsidRPr="00F970BD">
        <w:rPr>
          <w:rFonts w:asciiTheme="minorHAnsi" w:hAnsiTheme="minorHAnsi" w:cstheme="minorHAnsi"/>
        </w:rPr>
        <w:t>This is a very narrow exemption</w:t>
      </w:r>
      <w:r w:rsidR="00F4634F" w:rsidRPr="00F970BD">
        <w:rPr>
          <w:rFonts w:asciiTheme="minorHAnsi" w:hAnsiTheme="minorHAnsi" w:cstheme="minorHAnsi"/>
        </w:rPr>
        <w:t xml:space="preserve"> and does not apply once the litigation is concluded</w:t>
      </w:r>
      <w:r w:rsidR="006C17A8" w:rsidRPr="00F970BD">
        <w:rPr>
          <w:rFonts w:asciiTheme="minorHAnsi" w:hAnsiTheme="minorHAnsi" w:cstheme="minorHAnsi"/>
        </w:rPr>
        <w:t>.</w:t>
      </w:r>
    </w:p>
    <w:p w14:paraId="57284C54" w14:textId="77777777" w:rsidR="006C17A8" w:rsidRPr="00F970BD" w:rsidRDefault="006C17A8" w:rsidP="00FD7DC3">
      <w:pPr>
        <w:spacing w:before="240"/>
        <w:ind w:left="540"/>
        <w:rPr>
          <w:rFonts w:asciiTheme="minorHAnsi" w:hAnsiTheme="minorHAnsi" w:cstheme="minorHAnsi"/>
        </w:rPr>
      </w:pPr>
      <w:r w:rsidRPr="00A20469">
        <w:rPr>
          <w:rFonts w:asciiTheme="minorHAnsi" w:hAnsiTheme="minorHAnsi" w:cstheme="minorHAnsi"/>
          <w:b/>
        </w:rPr>
        <w:t>2.</w:t>
      </w:r>
      <w:r w:rsidR="00FD7DC3" w:rsidRPr="00A20469">
        <w:rPr>
          <w:rFonts w:asciiTheme="minorHAnsi" w:hAnsiTheme="minorHAnsi" w:cstheme="minorHAnsi"/>
          <w:b/>
        </w:rPr>
        <w:t xml:space="preserve"> </w:t>
      </w:r>
      <w:r w:rsidRPr="00F970BD">
        <w:rPr>
          <w:rFonts w:asciiTheme="minorHAnsi" w:hAnsiTheme="minorHAnsi" w:cstheme="minorHAnsi"/>
          <w:b/>
        </w:rPr>
        <w:t xml:space="preserve">Trade </w:t>
      </w:r>
      <w:r w:rsidR="00FF0669" w:rsidRPr="00F970BD">
        <w:rPr>
          <w:rFonts w:asciiTheme="minorHAnsi" w:hAnsiTheme="minorHAnsi" w:cstheme="minorHAnsi"/>
          <w:b/>
        </w:rPr>
        <w:t>s</w:t>
      </w:r>
      <w:r w:rsidRPr="00F970BD">
        <w:rPr>
          <w:rFonts w:asciiTheme="minorHAnsi" w:hAnsiTheme="minorHAnsi" w:cstheme="minorHAnsi"/>
          <w:b/>
        </w:rPr>
        <w:t>ecrets:</w:t>
      </w:r>
      <w:r w:rsidRPr="00F970BD">
        <w:rPr>
          <w:rFonts w:asciiTheme="minorHAnsi" w:hAnsiTheme="minorHAnsi" w:cstheme="minorHAnsi"/>
        </w:rPr>
        <w:t xml:space="preserve"> Trade secrets </w:t>
      </w:r>
      <w:r w:rsidR="00CA2D19" w:rsidRPr="00F970BD">
        <w:rPr>
          <w:rFonts w:asciiTheme="minorHAnsi" w:hAnsiTheme="minorHAnsi" w:cstheme="minorHAnsi"/>
        </w:rPr>
        <w:t xml:space="preserve">as defined in </w:t>
      </w:r>
      <w:r w:rsidRPr="00F970BD">
        <w:rPr>
          <w:rFonts w:asciiTheme="minorHAnsi" w:hAnsiTheme="minorHAnsi" w:cstheme="minorHAnsi"/>
        </w:rPr>
        <w:t>ORS 192.501(2) are conditionally exempt</w:t>
      </w:r>
      <w:r w:rsidR="00F4634F" w:rsidRPr="00F970BD">
        <w:rPr>
          <w:rFonts w:asciiTheme="minorHAnsi" w:hAnsiTheme="minorHAnsi" w:cstheme="minorHAnsi"/>
        </w:rPr>
        <w:t>, but ORS 646.461 to 646.475, the Uniform Trade Secrets Act, more broadly def</w:t>
      </w:r>
      <w:r w:rsidR="0008696E" w:rsidRPr="00F970BD">
        <w:rPr>
          <w:rFonts w:asciiTheme="minorHAnsi" w:hAnsiTheme="minorHAnsi" w:cstheme="minorHAnsi"/>
        </w:rPr>
        <w:t>i</w:t>
      </w:r>
      <w:r w:rsidR="00F4634F" w:rsidRPr="00F970BD">
        <w:rPr>
          <w:rFonts w:asciiTheme="minorHAnsi" w:hAnsiTheme="minorHAnsi" w:cstheme="minorHAnsi"/>
        </w:rPr>
        <w:t>nes what constitutes a trade secret and prohibits misappropriation of a trade secret.</w:t>
      </w:r>
      <w:r w:rsidR="00572585" w:rsidRPr="00F970BD">
        <w:rPr>
          <w:rFonts w:asciiTheme="minorHAnsi" w:hAnsiTheme="minorHAnsi" w:cstheme="minorHAnsi"/>
        </w:rPr>
        <w:t xml:space="preserve"> </w:t>
      </w:r>
      <w:r w:rsidR="00B2185F">
        <w:rPr>
          <w:rFonts w:asciiTheme="minorHAnsi" w:hAnsiTheme="minorHAnsi" w:cstheme="minorHAnsi"/>
        </w:rPr>
        <w:t>[AGENCY]</w:t>
      </w:r>
      <w:r w:rsidR="00F4634F" w:rsidRPr="00F970BD">
        <w:rPr>
          <w:rFonts w:asciiTheme="minorHAnsi" w:hAnsiTheme="minorHAnsi" w:cstheme="minorHAnsi"/>
        </w:rPr>
        <w:t xml:space="preserve"> staff should consult with the </w:t>
      </w:r>
      <w:r w:rsidR="00A76111">
        <w:rPr>
          <w:rFonts w:asciiTheme="minorHAnsi" w:hAnsiTheme="minorHAnsi" w:cstheme="minorHAnsi"/>
        </w:rPr>
        <w:t>Oregon a</w:t>
      </w:r>
      <w:r w:rsidR="00F4634F" w:rsidRPr="00F970BD">
        <w:rPr>
          <w:rFonts w:asciiTheme="minorHAnsi" w:hAnsiTheme="minorHAnsi" w:cstheme="minorHAnsi"/>
        </w:rPr>
        <w:t xml:space="preserve">ttorney </w:t>
      </w:r>
      <w:r w:rsidR="00A76111">
        <w:rPr>
          <w:rFonts w:asciiTheme="minorHAnsi" w:hAnsiTheme="minorHAnsi" w:cstheme="minorHAnsi"/>
        </w:rPr>
        <w:t>g</w:t>
      </w:r>
      <w:r w:rsidR="00F4634F" w:rsidRPr="00F970BD">
        <w:rPr>
          <w:rFonts w:asciiTheme="minorHAnsi" w:hAnsiTheme="minorHAnsi" w:cstheme="minorHAnsi"/>
        </w:rPr>
        <w:t>eneral before releasing records that may contain a trade secret</w:t>
      </w:r>
      <w:r w:rsidRPr="00F970BD">
        <w:rPr>
          <w:rFonts w:asciiTheme="minorHAnsi" w:hAnsiTheme="minorHAnsi" w:cstheme="minorHAnsi"/>
        </w:rPr>
        <w:t>.</w:t>
      </w:r>
    </w:p>
    <w:p w14:paraId="57284C55" w14:textId="77777777" w:rsidR="006C17A8" w:rsidRPr="00F970BD" w:rsidRDefault="006C17A8" w:rsidP="00FD7DC3">
      <w:pPr>
        <w:spacing w:before="240"/>
        <w:ind w:left="540"/>
        <w:rPr>
          <w:rFonts w:asciiTheme="minorHAnsi" w:hAnsiTheme="minorHAnsi" w:cstheme="minorHAnsi"/>
        </w:rPr>
      </w:pPr>
      <w:r w:rsidRPr="00A20469">
        <w:rPr>
          <w:rFonts w:asciiTheme="minorHAnsi" w:hAnsiTheme="minorHAnsi" w:cstheme="minorHAnsi"/>
          <w:b/>
        </w:rPr>
        <w:t>3.</w:t>
      </w:r>
      <w:r w:rsidR="00FD7DC3" w:rsidRPr="00A20469">
        <w:rPr>
          <w:rFonts w:asciiTheme="minorHAnsi" w:hAnsiTheme="minorHAnsi" w:cstheme="minorHAnsi"/>
          <w:b/>
        </w:rPr>
        <w:t xml:space="preserve"> </w:t>
      </w:r>
      <w:r w:rsidRPr="00F970BD">
        <w:rPr>
          <w:rFonts w:asciiTheme="minorHAnsi" w:hAnsiTheme="minorHAnsi" w:cstheme="minorHAnsi"/>
          <w:b/>
        </w:rPr>
        <w:t xml:space="preserve">Criminal </w:t>
      </w:r>
      <w:r w:rsidR="00FF0669" w:rsidRPr="00F970BD">
        <w:rPr>
          <w:rFonts w:asciiTheme="minorHAnsi" w:hAnsiTheme="minorHAnsi" w:cstheme="minorHAnsi"/>
          <w:b/>
        </w:rPr>
        <w:t>i</w:t>
      </w:r>
      <w:r w:rsidRPr="00F970BD">
        <w:rPr>
          <w:rFonts w:asciiTheme="minorHAnsi" w:hAnsiTheme="minorHAnsi" w:cstheme="minorHAnsi"/>
          <w:b/>
        </w:rPr>
        <w:t xml:space="preserve">nvestigatory </w:t>
      </w:r>
      <w:r w:rsidR="00FF0669" w:rsidRPr="00F970BD">
        <w:rPr>
          <w:rFonts w:asciiTheme="minorHAnsi" w:hAnsiTheme="minorHAnsi" w:cstheme="minorHAnsi"/>
          <w:b/>
        </w:rPr>
        <w:t>m</w:t>
      </w:r>
      <w:r w:rsidRPr="00F970BD">
        <w:rPr>
          <w:rFonts w:asciiTheme="minorHAnsi" w:hAnsiTheme="minorHAnsi" w:cstheme="minorHAnsi"/>
          <w:b/>
        </w:rPr>
        <w:t>aterial:</w:t>
      </w:r>
      <w:r w:rsidRPr="00F970BD">
        <w:rPr>
          <w:rFonts w:asciiTheme="minorHAnsi" w:hAnsiTheme="minorHAnsi" w:cstheme="minorHAnsi"/>
        </w:rPr>
        <w:t xml:space="preserve"> Investigatory information compiled for criminal law purposes is conditionally exempted under ORS 192.501(3).</w:t>
      </w:r>
    </w:p>
    <w:p w14:paraId="57284C56" w14:textId="77777777" w:rsidR="006C17A8" w:rsidRPr="00F970BD" w:rsidRDefault="006C17A8" w:rsidP="00FD7DC3">
      <w:pPr>
        <w:spacing w:before="240"/>
        <w:ind w:left="540"/>
        <w:rPr>
          <w:rFonts w:asciiTheme="minorHAnsi" w:hAnsiTheme="minorHAnsi" w:cstheme="minorHAnsi"/>
        </w:rPr>
      </w:pPr>
      <w:r w:rsidRPr="00A20469">
        <w:rPr>
          <w:rFonts w:asciiTheme="minorHAnsi" w:hAnsiTheme="minorHAnsi" w:cstheme="minorHAnsi"/>
          <w:b/>
        </w:rPr>
        <w:t>4.</w:t>
      </w:r>
      <w:r w:rsidR="00FD7DC3" w:rsidRPr="00A20469">
        <w:rPr>
          <w:rFonts w:asciiTheme="minorHAnsi" w:hAnsiTheme="minorHAnsi" w:cstheme="minorHAnsi"/>
          <w:b/>
        </w:rPr>
        <w:t xml:space="preserve"> </w:t>
      </w:r>
      <w:r w:rsidRPr="00F970BD">
        <w:rPr>
          <w:rFonts w:asciiTheme="minorHAnsi" w:hAnsiTheme="minorHAnsi" w:cstheme="minorHAnsi"/>
          <w:b/>
        </w:rPr>
        <w:t xml:space="preserve">Tests and </w:t>
      </w:r>
      <w:r w:rsidR="00FF0669" w:rsidRPr="00F970BD">
        <w:rPr>
          <w:rFonts w:asciiTheme="minorHAnsi" w:hAnsiTheme="minorHAnsi" w:cstheme="minorHAnsi"/>
          <w:b/>
        </w:rPr>
        <w:t>e</w:t>
      </w:r>
      <w:r w:rsidRPr="00F970BD">
        <w:rPr>
          <w:rFonts w:asciiTheme="minorHAnsi" w:hAnsiTheme="minorHAnsi" w:cstheme="minorHAnsi"/>
          <w:b/>
        </w:rPr>
        <w:t xml:space="preserve">xamination </w:t>
      </w:r>
      <w:r w:rsidR="00FF0669" w:rsidRPr="00F970BD">
        <w:rPr>
          <w:rFonts w:asciiTheme="minorHAnsi" w:hAnsiTheme="minorHAnsi" w:cstheme="minorHAnsi"/>
          <w:b/>
        </w:rPr>
        <w:t>m</w:t>
      </w:r>
      <w:r w:rsidRPr="00F970BD">
        <w:rPr>
          <w:rFonts w:asciiTheme="minorHAnsi" w:hAnsiTheme="minorHAnsi" w:cstheme="minorHAnsi"/>
          <w:b/>
        </w:rPr>
        <w:t>aterial:</w:t>
      </w:r>
      <w:r w:rsidRPr="00F970BD">
        <w:rPr>
          <w:rFonts w:asciiTheme="minorHAnsi" w:hAnsiTheme="minorHAnsi" w:cstheme="minorHAnsi"/>
        </w:rPr>
        <w:t xml:space="preserve"> ORS 192.501(4) conditionally exempts test questions, scoring keys, and other data used to administer a licensing examination, employment, academic</w:t>
      </w:r>
      <w:r w:rsidR="00912B21" w:rsidRPr="00F970BD">
        <w:rPr>
          <w:rFonts w:asciiTheme="minorHAnsi" w:hAnsiTheme="minorHAnsi" w:cstheme="minorHAnsi"/>
        </w:rPr>
        <w:t>,</w:t>
      </w:r>
      <w:r w:rsidRPr="00F970BD">
        <w:rPr>
          <w:rFonts w:asciiTheme="minorHAnsi" w:hAnsiTheme="minorHAnsi" w:cstheme="minorHAnsi"/>
        </w:rPr>
        <w:t xml:space="preserve"> or other examination or testing procedure.</w:t>
      </w:r>
    </w:p>
    <w:p w14:paraId="57284C57" w14:textId="77777777" w:rsidR="006C17A8" w:rsidRPr="00F970BD" w:rsidRDefault="00EE1EB3" w:rsidP="00FD7DC3">
      <w:pPr>
        <w:spacing w:before="240"/>
        <w:ind w:left="540"/>
        <w:rPr>
          <w:rFonts w:asciiTheme="minorHAnsi" w:hAnsiTheme="minorHAnsi" w:cstheme="minorHAnsi"/>
        </w:rPr>
      </w:pPr>
      <w:r w:rsidRPr="00A20469">
        <w:rPr>
          <w:rFonts w:asciiTheme="minorHAnsi" w:hAnsiTheme="minorHAnsi" w:cstheme="minorHAnsi"/>
          <w:b/>
        </w:rPr>
        <w:t>5</w:t>
      </w:r>
      <w:r w:rsidR="006C17A8" w:rsidRPr="00A20469">
        <w:rPr>
          <w:rFonts w:asciiTheme="minorHAnsi" w:hAnsiTheme="minorHAnsi" w:cstheme="minorHAnsi"/>
          <w:b/>
        </w:rPr>
        <w:t>.</w:t>
      </w:r>
      <w:r w:rsidR="00FD7DC3" w:rsidRPr="00A20469">
        <w:rPr>
          <w:rFonts w:asciiTheme="minorHAnsi" w:hAnsiTheme="minorHAnsi" w:cstheme="minorHAnsi"/>
          <w:b/>
        </w:rPr>
        <w:t xml:space="preserve"> </w:t>
      </w:r>
      <w:r w:rsidR="006C17A8" w:rsidRPr="00F970BD">
        <w:rPr>
          <w:rFonts w:asciiTheme="minorHAnsi" w:hAnsiTheme="minorHAnsi" w:cstheme="minorHAnsi"/>
          <w:b/>
        </w:rPr>
        <w:t xml:space="preserve">Employee </w:t>
      </w:r>
      <w:r w:rsidR="00FF0669" w:rsidRPr="00F970BD">
        <w:rPr>
          <w:rFonts w:asciiTheme="minorHAnsi" w:hAnsiTheme="minorHAnsi" w:cstheme="minorHAnsi"/>
          <w:b/>
        </w:rPr>
        <w:t>r</w:t>
      </w:r>
      <w:r w:rsidR="006C17A8" w:rsidRPr="00F970BD">
        <w:rPr>
          <w:rFonts w:asciiTheme="minorHAnsi" w:hAnsiTheme="minorHAnsi" w:cstheme="minorHAnsi"/>
          <w:b/>
        </w:rPr>
        <w:t xml:space="preserve">epresentation </w:t>
      </w:r>
      <w:r w:rsidR="00FF0669" w:rsidRPr="00F970BD">
        <w:rPr>
          <w:rFonts w:asciiTheme="minorHAnsi" w:hAnsiTheme="minorHAnsi" w:cstheme="minorHAnsi"/>
          <w:b/>
        </w:rPr>
        <w:t>c</w:t>
      </w:r>
      <w:r w:rsidR="006C17A8" w:rsidRPr="00F970BD">
        <w:rPr>
          <w:rFonts w:asciiTheme="minorHAnsi" w:hAnsiTheme="minorHAnsi" w:cstheme="minorHAnsi"/>
          <w:b/>
        </w:rPr>
        <w:t>ards:</w:t>
      </w:r>
      <w:r w:rsidR="006C17A8" w:rsidRPr="00F970BD">
        <w:rPr>
          <w:rFonts w:asciiTheme="minorHAnsi" w:hAnsiTheme="minorHAnsi" w:cstheme="minorHAnsi"/>
        </w:rPr>
        <w:t xml:space="preserve"> ORS 192.501(7) conditionally exempts the names and signature</w:t>
      </w:r>
      <w:r w:rsidR="0008696E" w:rsidRPr="00F970BD">
        <w:rPr>
          <w:rFonts w:asciiTheme="minorHAnsi" w:hAnsiTheme="minorHAnsi" w:cstheme="minorHAnsi"/>
        </w:rPr>
        <w:t>s</w:t>
      </w:r>
      <w:r w:rsidR="006C17A8" w:rsidRPr="00F970BD">
        <w:rPr>
          <w:rFonts w:asciiTheme="minorHAnsi" w:hAnsiTheme="minorHAnsi" w:cstheme="minorHAnsi"/>
        </w:rPr>
        <w:t xml:space="preserve"> of employees who sign authorization cards or petitions for the purpose of requesting representation or decertification elections.</w:t>
      </w:r>
    </w:p>
    <w:p w14:paraId="57284C58" w14:textId="77777777" w:rsidR="006C17A8" w:rsidRPr="00F970BD" w:rsidRDefault="00EE1EB3" w:rsidP="00FD7DC3">
      <w:pPr>
        <w:spacing w:before="240"/>
        <w:ind w:left="540"/>
        <w:rPr>
          <w:rFonts w:asciiTheme="minorHAnsi" w:hAnsiTheme="minorHAnsi" w:cstheme="minorHAnsi"/>
        </w:rPr>
      </w:pPr>
      <w:r w:rsidRPr="00A20469">
        <w:rPr>
          <w:rFonts w:asciiTheme="minorHAnsi" w:hAnsiTheme="minorHAnsi" w:cstheme="minorHAnsi"/>
          <w:b/>
        </w:rPr>
        <w:t>6</w:t>
      </w:r>
      <w:r w:rsidR="006C17A8" w:rsidRPr="00A20469">
        <w:rPr>
          <w:rFonts w:asciiTheme="minorHAnsi" w:hAnsiTheme="minorHAnsi" w:cstheme="minorHAnsi"/>
          <w:b/>
        </w:rPr>
        <w:t>.</w:t>
      </w:r>
      <w:r w:rsidR="00FD7DC3" w:rsidRPr="00A20469">
        <w:rPr>
          <w:rFonts w:asciiTheme="minorHAnsi" w:hAnsiTheme="minorHAnsi" w:cstheme="minorHAnsi"/>
          <w:b/>
        </w:rPr>
        <w:t xml:space="preserve"> </w:t>
      </w:r>
      <w:r w:rsidR="006C17A8" w:rsidRPr="00F970BD">
        <w:rPr>
          <w:rFonts w:asciiTheme="minorHAnsi" w:hAnsiTheme="minorHAnsi" w:cstheme="minorHAnsi"/>
          <w:b/>
        </w:rPr>
        <w:t xml:space="preserve">Civil </w:t>
      </w:r>
      <w:r w:rsidR="00FF0669" w:rsidRPr="00F970BD">
        <w:rPr>
          <w:rFonts w:asciiTheme="minorHAnsi" w:hAnsiTheme="minorHAnsi" w:cstheme="minorHAnsi"/>
          <w:b/>
        </w:rPr>
        <w:t>r</w:t>
      </w:r>
      <w:r w:rsidR="006C17A8" w:rsidRPr="00F970BD">
        <w:rPr>
          <w:rFonts w:asciiTheme="minorHAnsi" w:hAnsiTheme="minorHAnsi" w:cstheme="minorHAnsi"/>
          <w:b/>
        </w:rPr>
        <w:t xml:space="preserve">ights </w:t>
      </w:r>
      <w:r w:rsidR="00FF0669" w:rsidRPr="00F970BD">
        <w:rPr>
          <w:rFonts w:asciiTheme="minorHAnsi" w:hAnsiTheme="minorHAnsi" w:cstheme="minorHAnsi"/>
          <w:b/>
        </w:rPr>
        <w:t>i</w:t>
      </w:r>
      <w:r w:rsidR="006C17A8" w:rsidRPr="00F970BD">
        <w:rPr>
          <w:rFonts w:asciiTheme="minorHAnsi" w:hAnsiTheme="minorHAnsi" w:cstheme="minorHAnsi"/>
          <w:b/>
        </w:rPr>
        <w:t xml:space="preserve">nvestigation </w:t>
      </w:r>
      <w:r w:rsidR="00FF0669" w:rsidRPr="00F970BD">
        <w:rPr>
          <w:rFonts w:asciiTheme="minorHAnsi" w:hAnsiTheme="minorHAnsi" w:cstheme="minorHAnsi"/>
          <w:b/>
        </w:rPr>
        <w:t>m</w:t>
      </w:r>
      <w:r w:rsidR="006C17A8" w:rsidRPr="00F970BD">
        <w:rPr>
          <w:rFonts w:asciiTheme="minorHAnsi" w:hAnsiTheme="minorHAnsi" w:cstheme="minorHAnsi"/>
          <w:b/>
        </w:rPr>
        <w:t>aterial:</w:t>
      </w:r>
      <w:r w:rsidR="006C17A8" w:rsidRPr="00F970BD">
        <w:rPr>
          <w:rFonts w:asciiTheme="minorHAnsi" w:hAnsiTheme="minorHAnsi" w:cstheme="minorHAnsi"/>
        </w:rPr>
        <w:t xml:space="preserve"> O</w:t>
      </w:r>
      <w:r w:rsidR="001F7E60" w:rsidRPr="00F970BD">
        <w:rPr>
          <w:rFonts w:asciiTheme="minorHAnsi" w:hAnsiTheme="minorHAnsi" w:cstheme="minorHAnsi"/>
        </w:rPr>
        <w:t>RS</w:t>
      </w:r>
      <w:r w:rsidR="006C17A8" w:rsidRPr="00F970BD">
        <w:rPr>
          <w:rFonts w:asciiTheme="minorHAnsi" w:hAnsiTheme="minorHAnsi" w:cstheme="minorHAnsi"/>
        </w:rPr>
        <w:t xml:space="preserve"> 192.501(8) conditionally exempts investigatory material relating to any complaint file</w:t>
      </w:r>
      <w:r w:rsidR="0008696E" w:rsidRPr="00F970BD">
        <w:rPr>
          <w:rFonts w:asciiTheme="minorHAnsi" w:hAnsiTheme="minorHAnsi" w:cstheme="minorHAnsi"/>
        </w:rPr>
        <w:t>d</w:t>
      </w:r>
      <w:r w:rsidR="006C17A8" w:rsidRPr="00F970BD">
        <w:rPr>
          <w:rFonts w:asciiTheme="minorHAnsi" w:hAnsiTheme="minorHAnsi" w:cstheme="minorHAnsi"/>
        </w:rPr>
        <w:t xml:space="preserve"> under ORS 659A.820 or ORS 659A.825 until such time as the complaint is resolved under ORS 659A.835, or until a final order is issued under ORS 659A.850.</w:t>
      </w:r>
    </w:p>
    <w:p w14:paraId="57284C59" w14:textId="77777777" w:rsidR="006C17A8" w:rsidRPr="00F970BD" w:rsidRDefault="00EE1EB3" w:rsidP="00FD7DC3">
      <w:pPr>
        <w:spacing w:before="240"/>
        <w:ind w:left="540"/>
        <w:rPr>
          <w:rFonts w:asciiTheme="minorHAnsi" w:hAnsiTheme="minorHAnsi" w:cstheme="minorHAnsi"/>
        </w:rPr>
      </w:pPr>
      <w:r w:rsidRPr="00A20469">
        <w:rPr>
          <w:rFonts w:asciiTheme="minorHAnsi" w:hAnsiTheme="minorHAnsi" w:cstheme="minorHAnsi"/>
          <w:b/>
        </w:rPr>
        <w:t>7</w:t>
      </w:r>
      <w:r w:rsidR="006C17A8" w:rsidRPr="00A20469">
        <w:rPr>
          <w:rFonts w:asciiTheme="minorHAnsi" w:hAnsiTheme="minorHAnsi" w:cstheme="minorHAnsi"/>
          <w:b/>
        </w:rPr>
        <w:t>.</w:t>
      </w:r>
      <w:r w:rsidR="00FD7DC3" w:rsidRPr="00A20469">
        <w:rPr>
          <w:rFonts w:asciiTheme="minorHAnsi" w:hAnsiTheme="minorHAnsi" w:cstheme="minorHAnsi"/>
          <w:b/>
        </w:rPr>
        <w:t xml:space="preserve"> </w:t>
      </w:r>
      <w:r w:rsidR="006C17A8" w:rsidRPr="00F970BD">
        <w:rPr>
          <w:rFonts w:asciiTheme="minorHAnsi" w:hAnsiTheme="minorHAnsi" w:cstheme="minorHAnsi"/>
          <w:b/>
        </w:rPr>
        <w:t xml:space="preserve">Unfair </w:t>
      </w:r>
      <w:r w:rsidR="00FF0669" w:rsidRPr="00F970BD">
        <w:rPr>
          <w:rFonts w:asciiTheme="minorHAnsi" w:hAnsiTheme="minorHAnsi" w:cstheme="minorHAnsi"/>
          <w:b/>
        </w:rPr>
        <w:t>l</w:t>
      </w:r>
      <w:r w:rsidR="006C17A8" w:rsidRPr="00F970BD">
        <w:rPr>
          <w:rFonts w:asciiTheme="minorHAnsi" w:hAnsiTheme="minorHAnsi" w:cstheme="minorHAnsi"/>
          <w:b/>
        </w:rPr>
        <w:t xml:space="preserve">abor </w:t>
      </w:r>
      <w:r w:rsidR="00FF0669" w:rsidRPr="00F970BD">
        <w:rPr>
          <w:rFonts w:asciiTheme="minorHAnsi" w:hAnsiTheme="minorHAnsi" w:cstheme="minorHAnsi"/>
          <w:b/>
        </w:rPr>
        <w:t>p</w:t>
      </w:r>
      <w:r w:rsidR="006C17A8" w:rsidRPr="00F970BD">
        <w:rPr>
          <w:rFonts w:asciiTheme="minorHAnsi" w:hAnsiTheme="minorHAnsi" w:cstheme="minorHAnsi"/>
          <w:b/>
        </w:rPr>
        <w:t xml:space="preserve">ractice </w:t>
      </w:r>
      <w:r w:rsidR="00FF0669" w:rsidRPr="00F970BD">
        <w:rPr>
          <w:rFonts w:asciiTheme="minorHAnsi" w:hAnsiTheme="minorHAnsi" w:cstheme="minorHAnsi"/>
          <w:b/>
        </w:rPr>
        <w:t>c</w:t>
      </w:r>
      <w:r w:rsidR="006C17A8" w:rsidRPr="00F970BD">
        <w:rPr>
          <w:rFonts w:asciiTheme="minorHAnsi" w:hAnsiTheme="minorHAnsi" w:cstheme="minorHAnsi"/>
          <w:b/>
        </w:rPr>
        <w:t>omplaints:</w:t>
      </w:r>
      <w:r w:rsidR="006C17A8" w:rsidRPr="00F970BD">
        <w:rPr>
          <w:rFonts w:asciiTheme="minorHAnsi" w:hAnsiTheme="minorHAnsi" w:cstheme="minorHAnsi"/>
        </w:rPr>
        <w:t xml:space="preserve"> ORS 192.501(9) conditionally exempts investigatory information relating to any complaint or charge file</w:t>
      </w:r>
      <w:r w:rsidR="00912B21" w:rsidRPr="00F970BD">
        <w:rPr>
          <w:rFonts w:asciiTheme="minorHAnsi" w:hAnsiTheme="minorHAnsi" w:cstheme="minorHAnsi"/>
        </w:rPr>
        <w:t>d</w:t>
      </w:r>
      <w:r w:rsidR="006C17A8" w:rsidRPr="00F970BD">
        <w:rPr>
          <w:rFonts w:asciiTheme="minorHAnsi" w:hAnsiTheme="minorHAnsi" w:cstheme="minorHAnsi"/>
        </w:rPr>
        <w:t xml:space="preserve"> under ORS 243.676 and 663.180 relating to unfair labor practices and complaints of refusal to comply with any provision of a final and binding arbitration award.</w:t>
      </w:r>
      <w:r w:rsidR="00572585" w:rsidRPr="00F970BD">
        <w:rPr>
          <w:rFonts w:asciiTheme="minorHAnsi" w:hAnsiTheme="minorHAnsi" w:cstheme="minorHAnsi"/>
        </w:rPr>
        <w:t xml:space="preserve"> </w:t>
      </w:r>
      <w:r w:rsidR="00F4634F" w:rsidRPr="00F970BD">
        <w:rPr>
          <w:rFonts w:asciiTheme="minorHAnsi" w:hAnsiTheme="minorHAnsi" w:cstheme="minorHAnsi"/>
        </w:rPr>
        <w:t>The complaint itself is not exempt from disclosure.</w:t>
      </w:r>
    </w:p>
    <w:p w14:paraId="57284C5A" w14:textId="77777777" w:rsidR="006C17A8" w:rsidRPr="00F970BD" w:rsidRDefault="00EE1EB3" w:rsidP="00FD7DC3">
      <w:pPr>
        <w:spacing w:before="240"/>
        <w:ind w:left="540"/>
        <w:rPr>
          <w:rFonts w:asciiTheme="minorHAnsi" w:hAnsiTheme="minorHAnsi" w:cstheme="minorHAnsi"/>
        </w:rPr>
      </w:pPr>
      <w:r w:rsidRPr="00A20469">
        <w:rPr>
          <w:rFonts w:asciiTheme="minorHAnsi" w:hAnsiTheme="minorHAnsi" w:cstheme="minorHAnsi"/>
          <w:b/>
        </w:rPr>
        <w:t>8</w:t>
      </w:r>
      <w:r w:rsidR="006C17A8" w:rsidRPr="00A20469">
        <w:rPr>
          <w:rFonts w:asciiTheme="minorHAnsi" w:hAnsiTheme="minorHAnsi" w:cstheme="minorHAnsi"/>
          <w:b/>
        </w:rPr>
        <w:t>.</w:t>
      </w:r>
      <w:r w:rsidR="00FD7DC3" w:rsidRPr="00A20469">
        <w:rPr>
          <w:rFonts w:asciiTheme="minorHAnsi" w:hAnsiTheme="minorHAnsi" w:cstheme="minorHAnsi"/>
          <w:b/>
        </w:rPr>
        <w:t xml:space="preserve"> </w:t>
      </w:r>
      <w:r w:rsidR="006C17A8" w:rsidRPr="00F970BD">
        <w:rPr>
          <w:rFonts w:asciiTheme="minorHAnsi" w:hAnsiTheme="minorHAnsi" w:cstheme="minorHAnsi"/>
          <w:b/>
        </w:rPr>
        <w:t xml:space="preserve">Personnel </w:t>
      </w:r>
      <w:r w:rsidR="00FF0669" w:rsidRPr="00F970BD">
        <w:rPr>
          <w:rFonts w:asciiTheme="minorHAnsi" w:hAnsiTheme="minorHAnsi" w:cstheme="minorHAnsi"/>
          <w:b/>
        </w:rPr>
        <w:t>d</w:t>
      </w:r>
      <w:r w:rsidR="006C17A8" w:rsidRPr="00F970BD">
        <w:rPr>
          <w:rFonts w:asciiTheme="minorHAnsi" w:hAnsiTheme="minorHAnsi" w:cstheme="minorHAnsi"/>
          <w:b/>
        </w:rPr>
        <w:t xml:space="preserve">iscipline </w:t>
      </w:r>
      <w:r w:rsidR="00FF0669" w:rsidRPr="00F970BD">
        <w:rPr>
          <w:rFonts w:asciiTheme="minorHAnsi" w:hAnsiTheme="minorHAnsi" w:cstheme="minorHAnsi"/>
          <w:b/>
        </w:rPr>
        <w:t>a</w:t>
      </w:r>
      <w:r w:rsidR="006C17A8" w:rsidRPr="00F970BD">
        <w:rPr>
          <w:rFonts w:asciiTheme="minorHAnsi" w:hAnsiTheme="minorHAnsi" w:cstheme="minorHAnsi"/>
          <w:b/>
        </w:rPr>
        <w:t>ctions:</w:t>
      </w:r>
      <w:r w:rsidR="006C17A8" w:rsidRPr="00F970BD">
        <w:rPr>
          <w:rFonts w:asciiTheme="minorHAnsi" w:hAnsiTheme="minorHAnsi" w:cstheme="minorHAnsi"/>
        </w:rPr>
        <w:t xml:space="preserve"> ORS 192.501(12) conditionally exempts a personnel discipline action, or material</w:t>
      </w:r>
      <w:r w:rsidR="0085675A" w:rsidRPr="00F970BD">
        <w:rPr>
          <w:rFonts w:asciiTheme="minorHAnsi" w:hAnsiTheme="minorHAnsi" w:cstheme="minorHAnsi"/>
        </w:rPr>
        <w:t>s</w:t>
      </w:r>
      <w:r w:rsidR="006C17A8" w:rsidRPr="00F970BD">
        <w:rPr>
          <w:rFonts w:asciiTheme="minorHAnsi" w:hAnsiTheme="minorHAnsi" w:cstheme="minorHAnsi"/>
        </w:rPr>
        <w:t xml:space="preserve"> or documents supporting that action</w:t>
      </w:r>
      <w:r w:rsidR="00F4634F" w:rsidRPr="00F970BD">
        <w:rPr>
          <w:rFonts w:asciiTheme="minorHAnsi" w:hAnsiTheme="minorHAnsi" w:cstheme="minorHAnsi"/>
        </w:rPr>
        <w:t>, when the investigation is complete and a sanction is imposed.</w:t>
      </w:r>
      <w:r w:rsidR="00572585" w:rsidRPr="00F970BD">
        <w:rPr>
          <w:rFonts w:asciiTheme="minorHAnsi" w:hAnsiTheme="minorHAnsi" w:cstheme="minorHAnsi"/>
        </w:rPr>
        <w:t xml:space="preserve"> </w:t>
      </w:r>
      <w:r w:rsidR="00F4634F" w:rsidRPr="00F970BD">
        <w:rPr>
          <w:rFonts w:asciiTheme="minorHAnsi" w:hAnsiTheme="minorHAnsi" w:cstheme="minorHAnsi"/>
        </w:rPr>
        <w:t>It does not protect records where no sanction is impos</w:t>
      </w:r>
      <w:r w:rsidR="008B68B0" w:rsidRPr="00F970BD">
        <w:rPr>
          <w:rFonts w:asciiTheme="minorHAnsi" w:hAnsiTheme="minorHAnsi" w:cstheme="minorHAnsi"/>
        </w:rPr>
        <w:t>e</w:t>
      </w:r>
      <w:r w:rsidR="00F4634F" w:rsidRPr="00F970BD">
        <w:rPr>
          <w:rFonts w:asciiTheme="minorHAnsi" w:hAnsiTheme="minorHAnsi" w:cstheme="minorHAnsi"/>
        </w:rPr>
        <w:t>d, or when the employee resigns during the investigation or in lieu of a sanction being imposed</w:t>
      </w:r>
      <w:r w:rsidR="006C17A8" w:rsidRPr="00F970BD">
        <w:rPr>
          <w:rFonts w:asciiTheme="minorHAnsi" w:hAnsiTheme="minorHAnsi" w:cstheme="minorHAnsi"/>
        </w:rPr>
        <w:t>.</w:t>
      </w:r>
    </w:p>
    <w:p w14:paraId="57284C5B" w14:textId="77777777" w:rsidR="006C17A8" w:rsidRPr="00F970BD" w:rsidRDefault="00EE1EB3" w:rsidP="00FD7DC3">
      <w:pPr>
        <w:spacing w:before="240"/>
        <w:ind w:left="540"/>
        <w:rPr>
          <w:rFonts w:asciiTheme="minorHAnsi" w:hAnsiTheme="minorHAnsi" w:cstheme="minorHAnsi"/>
        </w:rPr>
      </w:pPr>
      <w:r w:rsidRPr="00A20469">
        <w:rPr>
          <w:rFonts w:asciiTheme="minorHAnsi" w:hAnsiTheme="minorHAnsi" w:cstheme="minorHAnsi"/>
          <w:b/>
        </w:rPr>
        <w:t>9</w:t>
      </w:r>
      <w:r w:rsidR="006C17A8" w:rsidRPr="00A20469">
        <w:rPr>
          <w:rFonts w:asciiTheme="minorHAnsi" w:hAnsiTheme="minorHAnsi" w:cstheme="minorHAnsi"/>
          <w:b/>
        </w:rPr>
        <w:t>.</w:t>
      </w:r>
      <w:r w:rsidR="00FD7DC3" w:rsidRPr="00A20469">
        <w:rPr>
          <w:rFonts w:asciiTheme="minorHAnsi" w:hAnsiTheme="minorHAnsi" w:cstheme="minorHAnsi"/>
          <w:b/>
        </w:rPr>
        <w:t xml:space="preserve"> </w:t>
      </w:r>
      <w:r w:rsidR="006C17A8" w:rsidRPr="00F970BD">
        <w:rPr>
          <w:rFonts w:asciiTheme="minorHAnsi" w:hAnsiTheme="minorHAnsi" w:cstheme="minorHAnsi"/>
          <w:b/>
        </w:rPr>
        <w:t xml:space="preserve">Computer </w:t>
      </w:r>
      <w:r w:rsidR="00FF0669" w:rsidRPr="00F970BD">
        <w:rPr>
          <w:rFonts w:asciiTheme="minorHAnsi" w:hAnsiTheme="minorHAnsi" w:cstheme="minorHAnsi"/>
          <w:b/>
        </w:rPr>
        <w:t>p</w:t>
      </w:r>
      <w:r w:rsidR="006C17A8" w:rsidRPr="00F970BD">
        <w:rPr>
          <w:rFonts w:asciiTheme="minorHAnsi" w:hAnsiTheme="minorHAnsi" w:cstheme="minorHAnsi"/>
          <w:b/>
        </w:rPr>
        <w:t xml:space="preserve">rograms for the </w:t>
      </w:r>
      <w:r w:rsidR="00FF0669" w:rsidRPr="00F970BD">
        <w:rPr>
          <w:rFonts w:asciiTheme="minorHAnsi" w:hAnsiTheme="minorHAnsi" w:cstheme="minorHAnsi"/>
          <w:b/>
        </w:rPr>
        <w:t>u</w:t>
      </w:r>
      <w:r w:rsidR="006C17A8" w:rsidRPr="00F970BD">
        <w:rPr>
          <w:rFonts w:asciiTheme="minorHAnsi" w:hAnsiTheme="minorHAnsi" w:cstheme="minorHAnsi"/>
          <w:b/>
        </w:rPr>
        <w:t xml:space="preserve">se of </w:t>
      </w:r>
      <w:r w:rsidR="00FF0669" w:rsidRPr="00F970BD">
        <w:rPr>
          <w:rFonts w:asciiTheme="minorHAnsi" w:hAnsiTheme="minorHAnsi" w:cstheme="minorHAnsi"/>
          <w:b/>
        </w:rPr>
        <w:t>p</w:t>
      </w:r>
      <w:r w:rsidR="006C17A8" w:rsidRPr="00F970BD">
        <w:rPr>
          <w:rFonts w:asciiTheme="minorHAnsi" w:hAnsiTheme="minorHAnsi" w:cstheme="minorHAnsi"/>
          <w:b/>
        </w:rPr>
        <w:t xml:space="preserve">ublic </w:t>
      </w:r>
      <w:r w:rsidR="00FF0669" w:rsidRPr="00F970BD">
        <w:rPr>
          <w:rFonts w:asciiTheme="minorHAnsi" w:hAnsiTheme="minorHAnsi" w:cstheme="minorHAnsi"/>
          <w:b/>
        </w:rPr>
        <w:t>b</w:t>
      </w:r>
      <w:r w:rsidR="006C17A8" w:rsidRPr="00F970BD">
        <w:rPr>
          <w:rFonts w:asciiTheme="minorHAnsi" w:hAnsiTheme="minorHAnsi" w:cstheme="minorHAnsi"/>
          <w:b/>
        </w:rPr>
        <w:t>odies:</w:t>
      </w:r>
      <w:r w:rsidR="006C17A8" w:rsidRPr="00F970BD">
        <w:rPr>
          <w:rFonts w:asciiTheme="minorHAnsi" w:hAnsiTheme="minorHAnsi" w:cstheme="minorHAnsi"/>
        </w:rPr>
        <w:t xml:space="preserve"> ORS 192.501(15) conditionally exempts computer programs developed or purchased by or for a public body for its own use.</w:t>
      </w:r>
    </w:p>
    <w:p w14:paraId="57284C5C" w14:textId="77777777" w:rsidR="006C17A8" w:rsidRPr="00F970BD" w:rsidRDefault="006C17A8" w:rsidP="00FD7DC3">
      <w:pPr>
        <w:spacing w:before="240"/>
        <w:ind w:left="540"/>
        <w:rPr>
          <w:rFonts w:asciiTheme="minorHAnsi" w:hAnsiTheme="minorHAnsi" w:cstheme="minorHAnsi"/>
        </w:rPr>
      </w:pPr>
      <w:r w:rsidRPr="00A20469">
        <w:rPr>
          <w:rFonts w:asciiTheme="minorHAnsi" w:hAnsiTheme="minorHAnsi" w:cstheme="minorHAnsi"/>
          <w:b/>
        </w:rPr>
        <w:t>1</w:t>
      </w:r>
      <w:r w:rsidR="00EE1EB3" w:rsidRPr="00A20469">
        <w:rPr>
          <w:rFonts w:asciiTheme="minorHAnsi" w:hAnsiTheme="minorHAnsi" w:cstheme="minorHAnsi"/>
          <w:b/>
        </w:rPr>
        <w:t>0</w:t>
      </w:r>
      <w:r w:rsidRPr="00A20469">
        <w:rPr>
          <w:rFonts w:asciiTheme="minorHAnsi" w:hAnsiTheme="minorHAnsi" w:cstheme="minorHAnsi"/>
          <w:b/>
        </w:rPr>
        <w:t>.</w:t>
      </w:r>
      <w:r w:rsidR="00A20469" w:rsidRPr="00A20469">
        <w:rPr>
          <w:rFonts w:asciiTheme="minorHAnsi" w:hAnsiTheme="minorHAnsi" w:cstheme="minorHAnsi"/>
          <w:b/>
        </w:rPr>
        <w:t xml:space="preserve"> </w:t>
      </w:r>
      <w:r w:rsidRPr="00F970BD">
        <w:rPr>
          <w:rFonts w:asciiTheme="minorHAnsi" w:hAnsiTheme="minorHAnsi" w:cstheme="minorHAnsi"/>
          <w:b/>
        </w:rPr>
        <w:t xml:space="preserve">Unsafe </w:t>
      </w:r>
      <w:r w:rsidR="00FF0669" w:rsidRPr="00F970BD">
        <w:rPr>
          <w:rFonts w:asciiTheme="minorHAnsi" w:hAnsiTheme="minorHAnsi" w:cstheme="minorHAnsi"/>
          <w:b/>
        </w:rPr>
        <w:t>w</w:t>
      </w:r>
      <w:r w:rsidRPr="00F970BD">
        <w:rPr>
          <w:rFonts w:asciiTheme="minorHAnsi" w:hAnsiTheme="minorHAnsi" w:cstheme="minorHAnsi"/>
          <w:b/>
        </w:rPr>
        <w:t xml:space="preserve">orkplace </w:t>
      </w:r>
      <w:r w:rsidR="00FF0669" w:rsidRPr="00F970BD">
        <w:rPr>
          <w:rFonts w:asciiTheme="minorHAnsi" w:hAnsiTheme="minorHAnsi" w:cstheme="minorHAnsi"/>
          <w:b/>
        </w:rPr>
        <w:t>i</w:t>
      </w:r>
      <w:r w:rsidRPr="00F970BD">
        <w:rPr>
          <w:rFonts w:asciiTheme="minorHAnsi" w:hAnsiTheme="minorHAnsi" w:cstheme="minorHAnsi"/>
          <w:b/>
        </w:rPr>
        <w:t xml:space="preserve">nvestigation </w:t>
      </w:r>
      <w:r w:rsidR="00FF0669" w:rsidRPr="00F970BD">
        <w:rPr>
          <w:rFonts w:asciiTheme="minorHAnsi" w:hAnsiTheme="minorHAnsi" w:cstheme="minorHAnsi"/>
          <w:b/>
        </w:rPr>
        <w:t>m</w:t>
      </w:r>
      <w:r w:rsidRPr="00F970BD">
        <w:rPr>
          <w:rFonts w:asciiTheme="minorHAnsi" w:hAnsiTheme="minorHAnsi" w:cstheme="minorHAnsi"/>
          <w:b/>
        </w:rPr>
        <w:t>aterials:</w:t>
      </w:r>
      <w:r w:rsidRPr="00F970BD">
        <w:rPr>
          <w:rFonts w:asciiTheme="minorHAnsi" w:hAnsiTheme="minorHAnsi" w:cstheme="minorHAnsi"/>
        </w:rPr>
        <w:t xml:space="preserve"> ORS 192.501(17) conditionally exempts investigatory information relating to any complaint or charge filed under ORS Chapter 654 until a final administrative determination is made, or if a citation is issued, until an </w:t>
      </w:r>
      <w:r w:rsidR="008B68B0" w:rsidRPr="00F970BD">
        <w:rPr>
          <w:rFonts w:asciiTheme="minorHAnsi" w:hAnsiTheme="minorHAnsi" w:cstheme="minorHAnsi"/>
        </w:rPr>
        <w:t>employer</w:t>
      </w:r>
      <w:r w:rsidR="00572585" w:rsidRPr="00F970BD">
        <w:rPr>
          <w:rFonts w:asciiTheme="minorHAnsi" w:hAnsiTheme="minorHAnsi" w:cstheme="minorHAnsi"/>
        </w:rPr>
        <w:t xml:space="preserve"> </w:t>
      </w:r>
      <w:r w:rsidRPr="00F970BD">
        <w:rPr>
          <w:rFonts w:asciiTheme="minorHAnsi" w:hAnsiTheme="minorHAnsi" w:cstheme="minorHAnsi"/>
        </w:rPr>
        <w:t>receives notice of any citation.</w:t>
      </w:r>
      <w:r w:rsidR="00572585" w:rsidRPr="00F970BD">
        <w:rPr>
          <w:rFonts w:asciiTheme="minorHAnsi" w:hAnsiTheme="minorHAnsi" w:cstheme="minorHAnsi"/>
        </w:rPr>
        <w:t xml:space="preserve"> </w:t>
      </w:r>
      <w:r w:rsidRPr="00F970BD">
        <w:rPr>
          <w:rFonts w:asciiTheme="minorHAnsi" w:hAnsiTheme="minorHAnsi" w:cstheme="minorHAnsi"/>
        </w:rPr>
        <w:t>ORS 654 governs safety and health in the workplace.</w:t>
      </w:r>
    </w:p>
    <w:p w14:paraId="57284C5D" w14:textId="77777777" w:rsidR="006C17A8" w:rsidRPr="00F970BD" w:rsidRDefault="006C17A8" w:rsidP="00FD7DC3">
      <w:pPr>
        <w:spacing w:before="240"/>
        <w:ind w:left="540"/>
        <w:rPr>
          <w:rFonts w:asciiTheme="minorHAnsi" w:hAnsiTheme="minorHAnsi" w:cstheme="minorHAnsi"/>
        </w:rPr>
      </w:pPr>
      <w:r w:rsidRPr="00A20469">
        <w:rPr>
          <w:rFonts w:asciiTheme="minorHAnsi" w:hAnsiTheme="minorHAnsi" w:cstheme="minorHAnsi"/>
          <w:b/>
        </w:rPr>
        <w:t>1</w:t>
      </w:r>
      <w:r w:rsidR="00EE1EB3" w:rsidRPr="00A20469">
        <w:rPr>
          <w:rFonts w:asciiTheme="minorHAnsi" w:hAnsiTheme="minorHAnsi" w:cstheme="minorHAnsi"/>
          <w:b/>
        </w:rPr>
        <w:t>1</w:t>
      </w:r>
      <w:r w:rsidRPr="00A20469">
        <w:rPr>
          <w:rFonts w:asciiTheme="minorHAnsi" w:hAnsiTheme="minorHAnsi" w:cstheme="minorHAnsi"/>
          <w:b/>
        </w:rPr>
        <w:t>.</w:t>
      </w:r>
      <w:r w:rsidR="00FD7DC3" w:rsidRPr="00A20469">
        <w:rPr>
          <w:rFonts w:asciiTheme="minorHAnsi" w:hAnsiTheme="minorHAnsi" w:cstheme="minorHAnsi"/>
          <w:b/>
        </w:rPr>
        <w:t xml:space="preserve"> </w:t>
      </w:r>
      <w:r w:rsidRPr="00F970BD">
        <w:rPr>
          <w:rFonts w:asciiTheme="minorHAnsi" w:hAnsiTheme="minorHAnsi" w:cstheme="minorHAnsi"/>
          <w:b/>
        </w:rPr>
        <w:t xml:space="preserve">Public </w:t>
      </w:r>
      <w:r w:rsidR="00FF0669" w:rsidRPr="00F970BD">
        <w:rPr>
          <w:rFonts w:asciiTheme="minorHAnsi" w:hAnsiTheme="minorHAnsi" w:cstheme="minorHAnsi"/>
          <w:b/>
        </w:rPr>
        <w:t>s</w:t>
      </w:r>
      <w:r w:rsidRPr="00F970BD">
        <w:rPr>
          <w:rFonts w:asciiTheme="minorHAnsi" w:hAnsiTheme="minorHAnsi" w:cstheme="minorHAnsi"/>
          <w:b/>
        </w:rPr>
        <w:t xml:space="preserve">afety </w:t>
      </w:r>
      <w:r w:rsidR="00FF0669" w:rsidRPr="00F970BD">
        <w:rPr>
          <w:rFonts w:asciiTheme="minorHAnsi" w:hAnsiTheme="minorHAnsi" w:cstheme="minorHAnsi"/>
          <w:b/>
        </w:rPr>
        <w:t>p</w:t>
      </w:r>
      <w:r w:rsidRPr="00F970BD">
        <w:rPr>
          <w:rFonts w:asciiTheme="minorHAnsi" w:hAnsiTheme="minorHAnsi" w:cstheme="minorHAnsi"/>
          <w:b/>
        </w:rPr>
        <w:t>lans:</w:t>
      </w:r>
      <w:r w:rsidRPr="00F970BD">
        <w:rPr>
          <w:rFonts w:asciiTheme="minorHAnsi" w:hAnsiTheme="minorHAnsi" w:cstheme="minorHAnsi"/>
        </w:rPr>
        <w:t xml:space="preserve"> ORS 192.501(18) exempts specific operational plans in connection with an anticipated threat to individual or public safety for deployment and use of personnel and equipment, prepared or used by a public body, if public disclosure of the plans would endanger an individual’s life or physical safety or jeopardize a law enforcement activity.</w:t>
      </w:r>
    </w:p>
    <w:p w14:paraId="57284C5E" w14:textId="77777777" w:rsidR="006C17A8" w:rsidRPr="00F970BD" w:rsidRDefault="00EE1EB3" w:rsidP="00FD7DC3">
      <w:pPr>
        <w:spacing w:before="240"/>
        <w:ind w:left="540"/>
        <w:rPr>
          <w:rFonts w:asciiTheme="minorHAnsi" w:hAnsiTheme="minorHAnsi" w:cstheme="minorHAnsi"/>
        </w:rPr>
      </w:pPr>
      <w:r w:rsidRPr="00A20469">
        <w:rPr>
          <w:rFonts w:asciiTheme="minorHAnsi" w:hAnsiTheme="minorHAnsi" w:cstheme="minorHAnsi"/>
          <w:b/>
        </w:rPr>
        <w:t>12</w:t>
      </w:r>
      <w:r w:rsidR="006C17A8" w:rsidRPr="00A20469">
        <w:rPr>
          <w:rFonts w:asciiTheme="minorHAnsi" w:hAnsiTheme="minorHAnsi" w:cstheme="minorHAnsi"/>
          <w:b/>
        </w:rPr>
        <w:t>.</w:t>
      </w:r>
      <w:r w:rsidR="00FD7DC3" w:rsidRPr="00A20469">
        <w:rPr>
          <w:rFonts w:asciiTheme="minorHAnsi" w:hAnsiTheme="minorHAnsi" w:cstheme="minorHAnsi"/>
          <w:b/>
        </w:rPr>
        <w:t xml:space="preserve"> </w:t>
      </w:r>
      <w:r w:rsidR="006C17A8" w:rsidRPr="00F970BD">
        <w:rPr>
          <w:rFonts w:asciiTheme="minorHAnsi" w:hAnsiTheme="minorHAnsi" w:cstheme="minorHAnsi"/>
          <w:b/>
        </w:rPr>
        <w:t xml:space="preserve">Interference with </w:t>
      </w:r>
      <w:r w:rsidR="00FF0669" w:rsidRPr="00F970BD">
        <w:rPr>
          <w:rFonts w:asciiTheme="minorHAnsi" w:hAnsiTheme="minorHAnsi" w:cstheme="minorHAnsi"/>
          <w:b/>
        </w:rPr>
        <w:t>p</w:t>
      </w:r>
      <w:r w:rsidR="006C17A8" w:rsidRPr="00F970BD">
        <w:rPr>
          <w:rFonts w:asciiTheme="minorHAnsi" w:hAnsiTheme="minorHAnsi" w:cstheme="minorHAnsi"/>
          <w:b/>
        </w:rPr>
        <w:t xml:space="preserve">roperty or </w:t>
      </w:r>
      <w:r w:rsidR="00FF0669" w:rsidRPr="00F970BD">
        <w:rPr>
          <w:rFonts w:asciiTheme="minorHAnsi" w:hAnsiTheme="minorHAnsi" w:cstheme="minorHAnsi"/>
          <w:b/>
        </w:rPr>
        <w:t>s</w:t>
      </w:r>
      <w:r w:rsidR="006C17A8" w:rsidRPr="00F970BD">
        <w:rPr>
          <w:rFonts w:asciiTheme="minorHAnsi" w:hAnsiTheme="minorHAnsi" w:cstheme="minorHAnsi"/>
          <w:b/>
        </w:rPr>
        <w:t>ervices:</w:t>
      </w:r>
      <w:r w:rsidR="006C17A8" w:rsidRPr="00F970BD">
        <w:rPr>
          <w:rFonts w:asciiTheme="minorHAnsi" w:hAnsiTheme="minorHAnsi" w:cstheme="minorHAnsi"/>
        </w:rPr>
        <w:t xml:space="preserve"> ORS 192.501(22) exempts from disclosure information that would allow a person to gain unauthorized access to buildings</w:t>
      </w:r>
      <w:r w:rsidR="008B68B0" w:rsidRPr="00F970BD">
        <w:rPr>
          <w:rFonts w:asciiTheme="minorHAnsi" w:hAnsiTheme="minorHAnsi" w:cstheme="minorHAnsi"/>
        </w:rPr>
        <w:t xml:space="preserve"> or other property</w:t>
      </w:r>
      <w:r w:rsidR="006C17A8" w:rsidRPr="00F970BD">
        <w:rPr>
          <w:rFonts w:asciiTheme="minorHAnsi" w:hAnsiTheme="minorHAnsi" w:cstheme="minorHAnsi"/>
        </w:rPr>
        <w:t>, public funds, information processing systems, or to identify areas of vulnerability that would permit unlawful disruption to or interference with public services or a public body</w:t>
      </w:r>
      <w:r w:rsidR="008B68B0" w:rsidRPr="00F970BD">
        <w:rPr>
          <w:rFonts w:asciiTheme="minorHAnsi" w:hAnsiTheme="minorHAnsi" w:cstheme="minorHAnsi"/>
        </w:rPr>
        <w:t>’s</w:t>
      </w:r>
      <w:r w:rsidR="006C17A8" w:rsidRPr="00F970BD">
        <w:rPr>
          <w:rFonts w:asciiTheme="minorHAnsi" w:hAnsiTheme="minorHAnsi" w:cstheme="minorHAnsi"/>
        </w:rPr>
        <w:t xml:space="preserve"> information processing systems.</w:t>
      </w:r>
    </w:p>
    <w:p w14:paraId="57284C5F" w14:textId="77777777" w:rsidR="006C17A8" w:rsidRPr="00F970BD" w:rsidRDefault="00EE1EB3" w:rsidP="00FD7DC3">
      <w:pPr>
        <w:spacing w:before="240"/>
        <w:ind w:left="540"/>
        <w:rPr>
          <w:rFonts w:asciiTheme="minorHAnsi" w:hAnsiTheme="minorHAnsi" w:cstheme="minorHAnsi"/>
        </w:rPr>
      </w:pPr>
      <w:r w:rsidRPr="00A20469">
        <w:rPr>
          <w:rFonts w:asciiTheme="minorHAnsi" w:hAnsiTheme="minorHAnsi" w:cstheme="minorHAnsi"/>
          <w:b/>
        </w:rPr>
        <w:t>1</w:t>
      </w:r>
      <w:r w:rsidR="006C17A8" w:rsidRPr="00A20469">
        <w:rPr>
          <w:rFonts w:asciiTheme="minorHAnsi" w:hAnsiTheme="minorHAnsi" w:cstheme="minorHAnsi"/>
          <w:b/>
        </w:rPr>
        <w:t>3.</w:t>
      </w:r>
      <w:r w:rsidR="00FD7DC3" w:rsidRPr="00A20469">
        <w:rPr>
          <w:rFonts w:asciiTheme="minorHAnsi" w:hAnsiTheme="minorHAnsi" w:cstheme="minorHAnsi"/>
          <w:b/>
        </w:rPr>
        <w:t xml:space="preserve"> </w:t>
      </w:r>
      <w:r w:rsidR="006C17A8" w:rsidRPr="00F970BD">
        <w:rPr>
          <w:rFonts w:asciiTheme="minorHAnsi" w:hAnsiTheme="minorHAnsi" w:cstheme="minorHAnsi"/>
          <w:b/>
        </w:rPr>
        <w:t xml:space="preserve">Security </w:t>
      </w:r>
      <w:r w:rsidR="00FF0669" w:rsidRPr="00F970BD">
        <w:rPr>
          <w:rFonts w:asciiTheme="minorHAnsi" w:hAnsiTheme="minorHAnsi" w:cstheme="minorHAnsi"/>
          <w:b/>
        </w:rPr>
        <w:t>m</w:t>
      </w:r>
      <w:r w:rsidR="006C17A8" w:rsidRPr="00F970BD">
        <w:rPr>
          <w:rFonts w:asciiTheme="minorHAnsi" w:hAnsiTheme="minorHAnsi" w:cstheme="minorHAnsi"/>
          <w:b/>
        </w:rPr>
        <w:t>easures:</w:t>
      </w:r>
      <w:r w:rsidR="006C17A8" w:rsidRPr="00F970BD">
        <w:rPr>
          <w:rFonts w:asciiTheme="minorHAnsi" w:hAnsiTheme="minorHAnsi" w:cstheme="minorHAnsi"/>
        </w:rPr>
        <w:t xml:space="preserve"> ORS 192.501(23) exempts from disclosure records or information that would reveal or otherwise identify security measures, or weaknesses or potential weaknesses in security measure</w:t>
      </w:r>
      <w:r w:rsidR="0008696E" w:rsidRPr="00F970BD">
        <w:rPr>
          <w:rFonts w:asciiTheme="minorHAnsi" w:hAnsiTheme="minorHAnsi" w:cstheme="minorHAnsi"/>
        </w:rPr>
        <w:t>s</w:t>
      </w:r>
      <w:r w:rsidR="006C17A8" w:rsidRPr="00F970BD">
        <w:rPr>
          <w:rFonts w:asciiTheme="minorHAnsi" w:hAnsiTheme="minorHAnsi" w:cstheme="minorHAnsi"/>
        </w:rPr>
        <w:t xml:space="preserve">, taken or recommended to be taken to protect an individual, buildings or </w:t>
      </w:r>
      <w:r w:rsidR="008B68B0" w:rsidRPr="00F970BD">
        <w:rPr>
          <w:rFonts w:asciiTheme="minorHAnsi" w:hAnsiTheme="minorHAnsi" w:cstheme="minorHAnsi"/>
        </w:rPr>
        <w:t xml:space="preserve">other </w:t>
      </w:r>
      <w:r w:rsidR="006C17A8" w:rsidRPr="00F970BD">
        <w:rPr>
          <w:rFonts w:asciiTheme="minorHAnsi" w:hAnsiTheme="minorHAnsi" w:cstheme="minorHAnsi"/>
        </w:rPr>
        <w:t xml:space="preserve">property, information processing, communication or telecommunication systems, including the information contained in the systems, or those operations of the </w:t>
      </w:r>
      <w:r w:rsidR="00B2185F">
        <w:rPr>
          <w:rFonts w:asciiTheme="minorHAnsi" w:hAnsiTheme="minorHAnsi" w:cstheme="minorHAnsi"/>
        </w:rPr>
        <w:t>[AGENCY]</w:t>
      </w:r>
      <w:r w:rsidR="006C17A8" w:rsidRPr="00F970BD">
        <w:rPr>
          <w:rFonts w:asciiTheme="minorHAnsi" w:hAnsiTheme="minorHAnsi" w:cstheme="minorHAnsi"/>
        </w:rPr>
        <w:t xml:space="preserve"> the security of which are subject to study and evaluation under ORS 461.180(6).</w:t>
      </w:r>
    </w:p>
    <w:p w14:paraId="57284C60" w14:textId="77777777" w:rsidR="006C17A8" w:rsidRPr="00F970BD" w:rsidRDefault="00EE1EB3" w:rsidP="00FD7DC3">
      <w:pPr>
        <w:spacing w:before="240"/>
        <w:ind w:left="540"/>
        <w:rPr>
          <w:rFonts w:asciiTheme="minorHAnsi" w:hAnsiTheme="minorHAnsi" w:cstheme="minorHAnsi"/>
        </w:rPr>
      </w:pPr>
      <w:r w:rsidRPr="00A20469">
        <w:rPr>
          <w:rFonts w:asciiTheme="minorHAnsi" w:hAnsiTheme="minorHAnsi" w:cstheme="minorHAnsi"/>
          <w:b/>
        </w:rPr>
        <w:t>14</w:t>
      </w:r>
      <w:r w:rsidR="006C17A8" w:rsidRPr="00A20469">
        <w:rPr>
          <w:rFonts w:asciiTheme="minorHAnsi" w:hAnsiTheme="minorHAnsi" w:cstheme="minorHAnsi"/>
          <w:b/>
        </w:rPr>
        <w:t>.</w:t>
      </w:r>
      <w:r w:rsidR="00FD7DC3" w:rsidRPr="00A20469">
        <w:rPr>
          <w:rFonts w:asciiTheme="minorHAnsi" w:hAnsiTheme="minorHAnsi" w:cstheme="minorHAnsi"/>
          <w:b/>
        </w:rPr>
        <w:t xml:space="preserve"> </w:t>
      </w:r>
      <w:r w:rsidR="006C17A8" w:rsidRPr="00F970BD">
        <w:rPr>
          <w:rFonts w:asciiTheme="minorHAnsi" w:hAnsiTheme="minorHAnsi" w:cstheme="minorHAnsi"/>
          <w:b/>
        </w:rPr>
        <w:t xml:space="preserve">Financial </w:t>
      </w:r>
      <w:r w:rsidR="00FF0669" w:rsidRPr="00F970BD">
        <w:rPr>
          <w:rFonts w:asciiTheme="minorHAnsi" w:hAnsiTheme="minorHAnsi" w:cstheme="minorHAnsi"/>
          <w:b/>
        </w:rPr>
        <w:t>t</w:t>
      </w:r>
      <w:r w:rsidR="006C17A8" w:rsidRPr="00F970BD">
        <w:rPr>
          <w:rFonts w:asciiTheme="minorHAnsi" w:hAnsiTheme="minorHAnsi" w:cstheme="minorHAnsi"/>
          <w:b/>
        </w:rPr>
        <w:t xml:space="preserve">ransfer </w:t>
      </w:r>
      <w:r w:rsidR="00FF0669" w:rsidRPr="00F970BD">
        <w:rPr>
          <w:rFonts w:asciiTheme="minorHAnsi" w:hAnsiTheme="minorHAnsi" w:cstheme="minorHAnsi"/>
          <w:b/>
        </w:rPr>
        <w:t>r</w:t>
      </w:r>
      <w:r w:rsidR="006C17A8" w:rsidRPr="00F970BD">
        <w:rPr>
          <w:rFonts w:asciiTheme="minorHAnsi" w:hAnsiTheme="minorHAnsi" w:cstheme="minorHAnsi"/>
          <w:b/>
        </w:rPr>
        <w:t>ecords:</w:t>
      </w:r>
      <w:r w:rsidR="006C17A8" w:rsidRPr="00F970BD">
        <w:rPr>
          <w:rFonts w:asciiTheme="minorHAnsi" w:hAnsiTheme="minorHAnsi" w:cstheme="minorHAnsi"/>
        </w:rPr>
        <w:t xml:space="preserve"> ORS 192.501(</w:t>
      </w:r>
      <w:r w:rsidR="008B68B0" w:rsidRPr="00F970BD">
        <w:rPr>
          <w:rFonts w:asciiTheme="minorHAnsi" w:hAnsiTheme="minorHAnsi" w:cstheme="minorHAnsi"/>
        </w:rPr>
        <w:t>27</w:t>
      </w:r>
      <w:r w:rsidR="006C17A8" w:rsidRPr="00F970BD">
        <w:rPr>
          <w:rFonts w:asciiTheme="minorHAnsi" w:hAnsiTheme="minorHAnsi" w:cstheme="minorHAnsi"/>
        </w:rPr>
        <w:t>) exempts information provided to, obtained by, or used by a public body to authorize, originate, receive, or authenticate a transfer of funds, including</w:t>
      </w:r>
      <w:r w:rsidR="00912B21" w:rsidRPr="00F970BD">
        <w:rPr>
          <w:rFonts w:asciiTheme="minorHAnsi" w:hAnsiTheme="minorHAnsi" w:cstheme="minorHAnsi"/>
        </w:rPr>
        <w:t>,</w:t>
      </w:r>
      <w:r w:rsidR="006C17A8" w:rsidRPr="00F970BD">
        <w:rPr>
          <w:rFonts w:asciiTheme="minorHAnsi" w:hAnsiTheme="minorHAnsi" w:cstheme="minorHAnsi"/>
        </w:rPr>
        <w:t xml:space="preserve"> but not limited to</w:t>
      </w:r>
      <w:r w:rsidR="00912B21" w:rsidRPr="00F970BD">
        <w:rPr>
          <w:rFonts w:asciiTheme="minorHAnsi" w:hAnsiTheme="minorHAnsi" w:cstheme="minorHAnsi"/>
        </w:rPr>
        <w:t>,</w:t>
      </w:r>
      <w:r w:rsidR="006C17A8" w:rsidRPr="00F970BD">
        <w:rPr>
          <w:rFonts w:asciiTheme="minorHAnsi" w:hAnsiTheme="minorHAnsi" w:cstheme="minorHAnsi"/>
        </w:rPr>
        <w:t xml:space="preserve"> a credit card number, payment card expiration date, password, financial institution account number, and financial institution routing number.</w:t>
      </w:r>
    </w:p>
    <w:p w14:paraId="57284C61" w14:textId="77777777" w:rsidR="00A526A3" w:rsidRPr="00F970BD" w:rsidRDefault="00A526A3" w:rsidP="0005640B">
      <w:pPr>
        <w:pStyle w:val="BodyText"/>
        <w:jc w:val="left"/>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C62" w14:textId="77777777" w:rsidR="006C17A8" w:rsidRPr="00F970BD" w:rsidRDefault="006C17A8" w:rsidP="0005640B">
      <w:pPr>
        <w:tabs>
          <w:tab w:val="left" w:pos="360"/>
        </w:tabs>
        <w:spacing w:before="240"/>
        <w:rPr>
          <w:rFonts w:asciiTheme="minorHAnsi" w:hAnsiTheme="minorHAnsi" w:cstheme="minorHAnsi"/>
        </w:rPr>
      </w:pPr>
      <w:r w:rsidRPr="00F970BD">
        <w:rPr>
          <w:rFonts w:asciiTheme="minorHAnsi" w:hAnsiTheme="minorHAnsi" w:cstheme="minorHAnsi"/>
          <w:b/>
        </w:rPr>
        <w:t xml:space="preserve">The </w:t>
      </w:r>
      <w:r w:rsidR="00FF0669" w:rsidRPr="00F970BD">
        <w:rPr>
          <w:rFonts w:asciiTheme="minorHAnsi" w:hAnsiTheme="minorHAnsi" w:cstheme="minorHAnsi"/>
          <w:b/>
        </w:rPr>
        <w:t>e</w:t>
      </w:r>
      <w:r w:rsidRPr="00F970BD">
        <w:rPr>
          <w:rFonts w:asciiTheme="minorHAnsi" w:hAnsiTheme="minorHAnsi" w:cstheme="minorHAnsi"/>
          <w:b/>
        </w:rPr>
        <w:t>xemptions of ORS 192.502:</w:t>
      </w:r>
      <w:r w:rsidRPr="00F970BD">
        <w:rPr>
          <w:rFonts w:asciiTheme="minorHAnsi" w:hAnsiTheme="minorHAnsi" w:cstheme="minorHAnsi"/>
        </w:rPr>
        <w:t xml:space="preserve"> </w:t>
      </w:r>
      <w:r w:rsidR="004D1A3E" w:rsidRPr="00F970BD">
        <w:rPr>
          <w:rFonts w:asciiTheme="minorHAnsi" w:hAnsiTheme="minorHAnsi" w:cstheme="minorHAnsi"/>
        </w:rPr>
        <w:t xml:space="preserve">ORS 192.502 contains a list of public records </w:t>
      </w:r>
      <w:r w:rsidR="00A76111">
        <w:rPr>
          <w:rFonts w:asciiTheme="minorHAnsi" w:hAnsiTheme="minorHAnsi" w:cstheme="minorHAnsi"/>
        </w:rPr>
        <w:t xml:space="preserve">that </w:t>
      </w:r>
      <w:r w:rsidR="004D1A3E" w:rsidRPr="00F970BD">
        <w:rPr>
          <w:rFonts w:asciiTheme="minorHAnsi" w:hAnsiTheme="minorHAnsi" w:cstheme="minorHAnsi"/>
        </w:rPr>
        <w:t xml:space="preserve">are generally exempt from disclosure under the </w:t>
      </w:r>
      <w:r w:rsidR="00FF0669" w:rsidRPr="00F970BD">
        <w:rPr>
          <w:rFonts w:asciiTheme="minorHAnsi" w:hAnsiTheme="minorHAnsi" w:cstheme="minorHAnsi"/>
        </w:rPr>
        <w:t>p</w:t>
      </w:r>
      <w:r w:rsidR="004D1A3E" w:rsidRPr="00F970BD">
        <w:rPr>
          <w:rFonts w:asciiTheme="minorHAnsi" w:hAnsiTheme="minorHAnsi" w:cstheme="minorHAnsi"/>
        </w:rPr>
        <w:t xml:space="preserve">ublic </w:t>
      </w:r>
      <w:r w:rsidR="00FF0669" w:rsidRPr="00F970BD">
        <w:rPr>
          <w:rFonts w:asciiTheme="minorHAnsi" w:hAnsiTheme="minorHAnsi" w:cstheme="minorHAnsi"/>
        </w:rPr>
        <w:t>r</w:t>
      </w:r>
      <w:r w:rsidR="004D1A3E" w:rsidRPr="00F970BD">
        <w:rPr>
          <w:rFonts w:asciiTheme="minorHAnsi" w:hAnsiTheme="minorHAnsi" w:cstheme="minorHAnsi"/>
        </w:rPr>
        <w:t xml:space="preserve">ecords </w:t>
      </w:r>
      <w:r w:rsidR="00FF0669" w:rsidRPr="00F970BD">
        <w:rPr>
          <w:rFonts w:asciiTheme="minorHAnsi" w:hAnsiTheme="minorHAnsi" w:cstheme="minorHAnsi"/>
        </w:rPr>
        <w:t>l</w:t>
      </w:r>
      <w:r w:rsidR="004D1A3E" w:rsidRPr="00F970BD">
        <w:rPr>
          <w:rFonts w:asciiTheme="minorHAnsi" w:hAnsiTheme="minorHAnsi" w:cstheme="minorHAnsi"/>
        </w:rPr>
        <w:t>aw.</w:t>
      </w:r>
      <w:r w:rsidR="00572585" w:rsidRPr="00F970BD">
        <w:rPr>
          <w:rFonts w:asciiTheme="minorHAnsi" w:hAnsiTheme="minorHAnsi" w:cstheme="minorHAnsi"/>
        </w:rPr>
        <w:t xml:space="preserve"> </w:t>
      </w:r>
      <w:r w:rsidR="001F7E60" w:rsidRPr="00F970BD">
        <w:rPr>
          <w:rFonts w:asciiTheme="minorHAnsi" w:hAnsiTheme="minorHAnsi" w:cstheme="minorHAnsi"/>
        </w:rPr>
        <w:t>T</w:t>
      </w:r>
      <w:r w:rsidRPr="00F970BD">
        <w:rPr>
          <w:rFonts w:asciiTheme="minorHAnsi" w:hAnsiTheme="minorHAnsi" w:cstheme="minorHAnsi"/>
        </w:rPr>
        <w:t>his statute does not contain the condition “unless the public interest requires disclosure in the particular instance,” which applies to all exemptions in ORS 192.501.</w:t>
      </w:r>
      <w:r w:rsidR="00572585" w:rsidRPr="00F970BD">
        <w:rPr>
          <w:rFonts w:asciiTheme="minorHAnsi" w:hAnsiTheme="minorHAnsi" w:cstheme="minorHAnsi"/>
        </w:rPr>
        <w:t xml:space="preserve"> </w:t>
      </w:r>
      <w:r w:rsidRPr="00F970BD">
        <w:rPr>
          <w:rFonts w:asciiTheme="minorHAnsi" w:hAnsiTheme="minorHAnsi" w:cstheme="minorHAnsi"/>
        </w:rPr>
        <w:t>However some of the following exemptions do contain language of condition as noted.</w:t>
      </w:r>
      <w:r w:rsidR="00572585" w:rsidRPr="00F970BD">
        <w:rPr>
          <w:rFonts w:asciiTheme="minorHAnsi" w:hAnsiTheme="minorHAnsi" w:cstheme="minorHAnsi"/>
        </w:rPr>
        <w:t xml:space="preserve"> </w:t>
      </w:r>
      <w:r w:rsidR="00087F24" w:rsidRPr="00F970BD">
        <w:rPr>
          <w:rFonts w:asciiTheme="minorHAnsi" w:hAnsiTheme="minorHAnsi" w:cstheme="minorHAnsi"/>
        </w:rPr>
        <w:t xml:space="preserve">The </w:t>
      </w:r>
      <w:r w:rsidR="00B2185F">
        <w:rPr>
          <w:rFonts w:asciiTheme="minorHAnsi" w:hAnsiTheme="minorHAnsi" w:cstheme="minorHAnsi"/>
        </w:rPr>
        <w:t>[AGENCY]</w:t>
      </w:r>
      <w:r w:rsidR="00087F24" w:rsidRPr="00F970BD">
        <w:rPr>
          <w:rFonts w:asciiTheme="minorHAnsi" w:hAnsiTheme="minorHAnsi" w:cstheme="minorHAnsi"/>
        </w:rPr>
        <w:t xml:space="preserve"> will consult with the </w:t>
      </w:r>
      <w:r w:rsidR="00A76111">
        <w:rPr>
          <w:rFonts w:asciiTheme="minorHAnsi" w:hAnsiTheme="minorHAnsi" w:cstheme="minorHAnsi"/>
        </w:rPr>
        <w:t>Oregon a</w:t>
      </w:r>
      <w:r w:rsidR="00087F24" w:rsidRPr="00F970BD">
        <w:rPr>
          <w:rFonts w:asciiTheme="minorHAnsi" w:hAnsiTheme="minorHAnsi" w:cstheme="minorHAnsi"/>
        </w:rPr>
        <w:t xml:space="preserve">ttorney </w:t>
      </w:r>
      <w:r w:rsidR="00A76111">
        <w:rPr>
          <w:rFonts w:asciiTheme="minorHAnsi" w:hAnsiTheme="minorHAnsi" w:cstheme="minorHAnsi"/>
        </w:rPr>
        <w:t>g</w:t>
      </w:r>
      <w:r w:rsidR="00087F24" w:rsidRPr="00F970BD">
        <w:rPr>
          <w:rFonts w:asciiTheme="minorHAnsi" w:hAnsiTheme="minorHAnsi" w:cstheme="minorHAnsi"/>
        </w:rPr>
        <w:t xml:space="preserve">eneral in such cases because the outright release of such information could subject the </w:t>
      </w:r>
      <w:r w:rsidR="00B2185F">
        <w:rPr>
          <w:rFonts w:asciiTheme="minorHAnsi" w:hAnsiTheme="minorHAnsi" w:cstheme="minorHAnsi"/>
        </w:rPr>
        <w:t>[AGENCY]</w:t>
      </w:r>
      <w:r w:rsidR="00087F24" w:rsidRPr="00F970BD">
        <w:rPr>
          <w:rFonts w:asciiTheme="minorHAnsi" w:hAnsiTheme="minorHAnsi" w:cstheme="minorHAnsi"/>
        </w:rPr>
        <w:t xml:space="preserve"> to claims of liability for damages or claims for declaratory or injunctive relief.</w:t>
      </w:r>
    </w:p>
    <w:p w14:paraId="57284C63" w14:textId="77777777" w:rsidR="004D1A3E" w:rsidRPr="00F970BD" w:rsidRDefault="004D1A3E" w:rsidP="0005640B">
      <w:pPr>
        <w:tabs>
          <w:tab w:val="left" w:pos="360"/>
        </w:tabs>
        <w:spacing w:before="240"/>
        <w:rPr>
          <w:rFonts w:asciiTheme="minorHAnsi" w:hAnsiTheme="minorHAnsi" w:cstheme="minorHAnsi"/>
        </w:rPr>
      </w:pPr>
      <w:r w:rsidRPr="00F970BD">
        <w:rPr>
          <w:rFonts w:asciiTheme="minorHAnsi" w:hAnsiTheme="minorHAnsi" w:cstheme="minorHAnsi"/>
        </w:rPr>
        <w:t xml:space="preserve">Only the exemptions listed in ORS 192.502 that apply to the </w:t>
      </w:r>
      <w:r w:rsidR="00B2185F">
        <w:rPr>
          <w:rFonts w:asciiTheme="minorHAnsi" w:hAnsiTheme="minorHAnsi" w:cstheme="minorHAnsi"/>
        </w:rPr>
        <w:t>[AGENCY]</w:t>
      </w:r>
      <w:r w:rsidRPr="00F970BD">
        <w:rPr>
          <w:rFonts w:asciiTheme="minorHAnsi" w:hAnsiTheme="minorHAnsi" w:cstheme="minorHAnsi"/>
        </w:rPr>
        <w:t xml:space="preserve"> are listed here.</w:t>
      </w:r>
      <w:r w:rsidR="00572585" w:rsidRPr="00F970BD">
        <w:rPr>
          <w:rFonts w:asciiTheme="minorHAnsi" w:hAnsiTheme="minorHAnsi" w:cstheme="minorHAnsi"/>
        </w:rPr>
        <w:t xml:space="preserve"> </w:t>
      </w:r>
      <w:r w:rsidRPr="00F970BD">
        <w:rPr>
          <w:rFonts w:asciiTheme="minorHAnsi" w:hAnsiTheme="minorHAnsi" w:cstheme="minorHAnsi"/>
        </w:rPr>
        <w:t>The complete list is contained in the statute.</w:t>
      </w:r>
    </w:p>
    <w:p w14:paraId="57284C64" w14:textId="77777777" w:rsidR="006C17A8" w:rsidRPr="00F970BD" w:rsidRDefault="006C17A8" w:rsidP="00FD7DC3">
      <w:pPr>
        <w:spacing w:before="240"/>
        <w:ind w:left="540"/>
        <w:rPr>
          <w:rFonts w:asciiTheme="minorHAnsi" w:hAnsiTheme="minorHAnsi" w:cstheme="minorHAnsi"/>
        </w:rPr>
      </w:pPr>
      <w:r w:rsidRPr="00A76111">
        <w:rPr>
          <w:rFonts w:asciiTheme="minorHAnsi" w:hAnsiTheme="minorHAnsi" w:cstheme="minorHAnsi"/>
        </w:rPr>
        <w:t>1.</w:t>
      </w:r>
      <w:r w:rsidR="00FD7DC3" w:rsidRPr="00A76111">
        <w:rPr>
          <w:rFonts w:asciiTheme="minorHAnsi" w:hAnsiTheme="minorHAnsi" w:cstheme="minorHAnsi"/>
        </w:rPr>
        <w:t xml:space="preserve"> </w:t>
      </w:r>
      <w:r w:rsidR="00FF0669" w:rsidRPr="00F970BD">
        <w:rPr>
          <w:rFonts w:asciiTheme="minorHAnsi" w:hAnsiTheme="minorHAnsi" w:cstheme="minorHAnsi"/>
          <w:b/>
        </w:rPr>
        <w:t>Internal a</w:t>
      </w:r>
      <w:r w:rsidRPr="00F970BD">
        <w:rPr>
          <w:rFonts w:asciiTheme="minorHAnsi" w:hAnsiTheme="minorHAnsi" w:cstheme="minorHAnsi"/>
          <w:b/>
        </w:rPr>
        <w:t xml:space="preserve">dvisory </w:t>
      </w:r>
      <w:r w:rsidR="00FF0669" w:rsidRPr="00F970BD">
        <w:rPr>
          <w:rFonts w:asciiTheme="minorHAnsi" w:hAnsiTheme="minorHAnsi" w:cstheme="minorHAnsi"/>
          <w:b/>
        </w:rPr>
        <w:t>c</w:t>
      </w:r>
      <w:r w:rsidRPr="00F970BD">
        <w:rPr>
          <w:rFonts w:asciiTheme="minorHAnsi" w:hAnsiTheme="minorHAnsi" w:cstheme="minorHAnsi"/>
          <w:b/>
        </w:rPr>
        <w:t>ommunications:</w:t>
      </w:r>
      <w:r w:rsidRPr="00F970BD">
        <w:rPr>
          <w:rFonts w:asciiTheme="minorHAnsi" w:hAnsiTheme="minorHAnsi" w:cstheme="minorHAnsi"/>
        </w:rPr>
        <w:t xml:space="preserve"> ORS 192.502(1) exempts communications within a public body or between public bodies of an advisory nature to the extent that they cover other than purely factual materials and are preliminary to any final agency determination of policy or action.</w:t>
      </w:r>
      <w:r w:rsidR="00572585" w:rsidRPr="00F970BD">
        <w:rPr>
          <w:rFonts w:asciiTheme="minorHAnsi" w:hAnsiTheme="minorHAnsi" w:cstheme="minorHAnsi"/>
        </w:rPr>
        <w:t xml:space="preserve"> </w:t>
      </w:r>
      <w:r w:rsidRPr="00F970BD">
        <w:rPr>
          <w:rFonts w:asciiTheme="minorHAnsi" w:hAnsiTheme="minorHAnsi" w:cstheme="minorHAnsi"/>
        </w:rPr>
        <w:t>This exemption does not apply unless the public body shows in the particular instance the public interest in encouraging frank communication between officials and employees of public bodies clearly outweighs the public interest in disclosure.</w:t>
      </w:r>
    </w:p>
    <w:p w14:paraId="57284C65" w14:textId="77777777" w:rsidR="006C17A8" w:rsidRPr="00F970BD" w:rsidRDefault="006C17A8" w:rsidP="00FD7DC3">
      <w:pPr>
        <w:spacing w:before="240"/>
        <w:ind w:left="540"/>
        <w:rPr>
          <w:rFonts w:asciiTheme="minorHAnsi" w:hAnsiTheme="minorHAnsi" w:cstheme="minorHAnsi"/>
        </w:rPr>
      </w:pPr>
      <w:r w:rsidRPr="00A76111">
        <w:rPr>
          <w:rFonts w:asciiTheme="minorHAnsi" w:hAnsiTheme="minorHAnsi" w:cstheme="minorHAnsi"/>
        </w:rPr>
        <w:t>2.</w:t>
      </w:r>
      <w:r w:rsidR="00FD7DC3" w:rsidRPr="00A76111">
        <w:rPr>
          <w:rFonts w:asciiTheme="minorHAnsi" w:hAnsiTheme="minorHAnsi" w:cstheme="minorHAnsi"/>
        </w:rPr>
        <w:t xml:space="preserve"> </w:t>
      </w:r>
      <w:r w:rsidRPr="00F970BD">
        <w:rPr>
          <w:rFonts w:asciiTheme="minorHAnsi" w:hAnsiTheme="minorHAnsi" w:cstheme="minorHAnsi"/>
          <w:b/>
        </w:rPr>
        <w:t xml:space="preserve">Personal </w:t>
      </w:r>
      <w:r w:rsidR="00FF0669" w:rsidRPr="00F970BD">
        <w:rPr>
          <w:rFonts w:asciiTheme="minorHAnsi" w:hAnsiTheme="minorHAnsi" w:cstheme="minorHAnsi"/>
          <w:b/>
        </w:rPr>
        <w:t>p</w:t>
      </w:r>
      <w:r w:rsidRPr="00F970BD">
        <w:rPr>
          <w:rFonts w:asciiTheme="minorHAnsi" w:hAnsiTheme="minorHAnsi" w:cstheme="minorHAnsi"/>
          <w:b/>
        </w:rPr>
        <w:t xml:space="preserve">rivacy </w:t>
      </w:r>
      <w:r w:rsidR="00FF0669" w:rsidRPr="00F970BD">
        <w:rPr>
          <w:rFonts w:asciiTheme="minorHAnsi" w:hAnsiTheme="minorHAnsi" w:cstheme="minorHAnsi"/>
          <w:b/>
        </w:rPr>
        <w:t>e</w:t>
      </w:r>
      <w:r w:rsidRPr="00F970BD">
        <w:rPr>
          <w:rFonts w:asciiTheme="minorHAnsi" w:hAnsiTheme="minorHAnsi" w:cstheme="minorHAnsi"/>
          <w:b/>
        </w:rPr>
        <w:t>xemption:</w:t>
      </w:r>
      <w:r w:rsidRPr="00F970BD">
        <w:rPr>
          <w:rFonts w:asciiTheme="minorHAnsi" w:hAnsiTheme="minorHAnsi" w:cstheme="minorHAnsi"/>
        </w:rPr>
        <w:t xml:space="preserve"> ORS 192.502(2) exempts information of a personal nature such as</w:t>
      </w:r>
      <w:r w:rsidR="00912B21" w:rsidRPr="00F970BD">
        <w:rPr>
          <w:rFonts w:asciiTheme="minorHAnsi" w:hAnsiTheme="minorHAnsi" w:cstheme="minorHAnsi"/>
        </w:rPr>
        <w:t>,</w:t>
      </w:r>
      <w:r w:rsidRPr="00F970BD">
        <w:rPr>
          <w:rFonts w:asciiTheme="minorHAnsi" w:hAnsiTheme="minorHAnsi" w:cstheme="minorHAnsi"/>
        </w:rPr>
        <w:t xml:space="preserve"> but not limited to</w:t>
      </w:r>
      <w:r w:rsidR="00912B21" w:rsidRPr="00F970BD">
        <w:rPr>
          <w:rFonts w:asciiTheme="minorHAnsi" w:hAnsiTheme="minorHAnsi" w:cstheme="minorHAnsi"/>
        </w:rPr>
        <w:t>,</w:t>
      </w:r>
      <w:r w:rsidRPr="00F970BD">
        <w:rPr>
          <w:rFonts w:asciiTheme="minorHAnsi" w:hAnsiTheme="minorHAnsi" w:cstheme="minorHAnsi"/>
        </w:rPr>
        <w:t xml:space="preserve"> that kept in a personal, medical</w:t>
      </w:r>
      <w:r w:rsidR="00912B21" w:rsidRPr="00F970BD">
        <w:rPr>
          <w:rFonts w:asciiTheme="minorHAnsi" w:hAnsiTheme="minorHAnsi" w:cstheme="minorHAnsi"/>
        </w:rPr>
        <w:t>,</w:t>
      </w:r>
      <w:r w:rsidRPr="00F970BD">
        <w:rPr>
          <w:rFonts w:asciiTheme="minorHAnsi" w:hAnsiTheme="minorHAnsi" w:cstheme="minorHAnsi"/>
        </w:rPr>
        <w:t xml:space="preserve"> or similar file, if public disclosure would constitute an unreasonable invasion of privacy, unless the public interest</w:t>
      </w:r>
      <w:r w:rsidR="0008696E" w:rsidRPr="00F970BD">
        <w:rPr>
          <w:rFonts w:asciiTheme="minorHAnsi" w:hAnsiTheme="minorHAnsi" w:cstheme="minorHAnsi"/>
        </w:rPr>
        <w:t>,</w:t>
      </w:r>
      <w:r w:rsidRPr="00F970BD">
        <w:rPr>
          <w:rFonts w:asciiTheme="minorHAnsi" w:hAnsiTheme="minorHAnsi" w:cstheme="minorHAnsi"/>
        </w:rPr>
        <w:t xml:space="preserve"> by clear and convincing evidence</w:t>
      </w:r>
      <w:r w:rsidR="0008696E" w:rsidRPr="00F970BD">
        <w:rPr>
          <w:rFonts w:asciiTheme="minorHAnsi" w:hAnsiTheme="minorHAnsi" w:cstheme="minorHAnsi"/>
        </w:rPr>
        <w:t>,</w:t>
      </w:r>
      <w:r w:rsidRPr="00F970BD">
        <w:rPr>
          <w:rFonts w:asciiTheme="minorHAnsi" w:hAnsiTheme="minorHAnsi" w:cstheme="minorHAnsi"/>
        </w:rPr>
        <w:t xml:space="preserve"> requires disclosure in the particular instance.</w:t>
      </w:r>
      <w:r w:rsidR="00572585" w:rsidRPr="00F970BD">
        <w:rPr>
          <w:rFonts w:asciiTheme="minorHAnsi" w:hAnsiTheme="minorHAnsi" w:cstheme="minorHAnsi"/>
        </w:rPr>
        <w:t xml:space="preserve"> </w:t>
      </w:r>
      <w:r w:rsidRPr="00F970BD">
        <w:rPr>
          <w:rFonts w:asciiTheme="minorHAnsi" w:hAnsiTheme="minorHAnsi" w:cstheme="minorHAnsi"/>
        </w:rPr>
        <w:t xml:space="preserve">The party seeking disclosure has the burden </w:t>
      </w:r>
      <w:r w:rsidR="004D1ECF" w:rsidRPr="00F970BD">
        <w:rPr>
          <w:rFonts w:asciiTheme="minorHAnsi" w:hAnsiTheme="minorHAnsi" w:cstheme="minorHAnsi"/>
        </w:rPr>
        <w:t>o</w:t>
      </w:r>
      <w:r w:rsidRPr="00F970BD">
        <w:rPr>
          <w:rFonts w:asciiTheme="minorHAnsi" w:hAnsiTheme="minorHAnsi" w:cstheme="minorHAnsi"/>
        </w:rPr>
        <w:t>f showing that public disclosure would not constitute an unreasonable invasion of privacy.</w:t>
      </w:r>
    </w:p>
    <w:p w14:paraId="57284C66" w14:textId="77777777" w:rsidR="006C17A8" w:rsidRPr="00F970BD" w:rsidRDefault="006C17A8" w:rsidP="00FD7DC3">
      <w:pPr>
        <w:spacing w:before="240"/>
        <w:ind w:left="540"/>
        <w:rPr>
          <w:rFonts w:asciiTheme="minorHAnsi" w:hAnsiTheme="minorHAnsi" w:cstheme="minorHAnsi"/>
        </w:rPr>
      </w:pPr>
      <w:r w:rsidRPr="00A76111">
        <w:rPr>
          <w:rFonts w:asciiTheme="minorHAnsi" w:hAnsiTheme="minorHAnsi" w:cstheme="minorHAnsi"/>
        </w:rPr>
        <w:t>3.</w:t>
      </w:r>
      <w:r w:rsidR="00FD7DC3" w:rsidRPr="00A76111">
        <w:rPr>
          <w:rFonts w:asciiTheme="minorHAnsi" w:hAnsiTheme="minorHAnsi" w:cstheme="minorHAnsi"/>
        </w:rPr>
        <w:t xml:space="preserve"> </w:t>
      </w:r>
      <w:r w:rsidR="00FF0669" w:rsidRPr="00F970BD">
        <w:rPr>
          <w:rFonts w:asciiTheme="minorHAnsi" w:hAnsiTheme="minorHAnsi" w:cstheme="minorHAnsi"/>
          <w:b/>
        </w:rPr>
        <w:t>Public e</w:t>
      </w:r>
      <w:r w:rsidRPr="00F970BD">
        <w:rPr>
          <w:rFonts w:asciiTheme="minorHAnsi" w:hAnsiTheme="minorHAnsi" w:cstheme="minorHAnsi"/>
          <w:b/>
        </w:rPr>
        <w:t xml:space="preserve">mployee </w:t>
      </w:r>
      <w:r w:rsidR="00FF0669" w:rsidRPr="00F970BD">
        <w:rPr>
          <w:rFonts w:asciiTheme="minorHAnsi" w:hAnsiTheme="minorHAnsi" w:cstheme="minorHAnsi"/>
          <w:b/>
        </w:rPr>
        <w:t>a</w:t>
      </w:r>
      <w:r w:rsidRPr="00F970BD">
        <w:rPr>
          <w:rFonts w:asciiTheme="minorHAnsi" w:hAnsiTheme="minorHAnsi" w:cstheme="minorHAnsi"/>
          <w:b/>
        </w:rPr>
        <w:t xml:space="preserve">ddresses, </w:t>
      </w:r>
      <w:r w:rsidR="00FF0669" w:rsidRPr="00F970BD">
        <w:rPr>
          <w:rFonts w:asciiTheme="minorHAnsi" w:hAnsiTheme="minorHAnsi" w:cstheme="minorHAnsi"/>
          <w:b/>
        </w:rPr>
        <w:t>s</w:t>
      </w:r>
      <w:r w:rsidRPr="00F970BD">
        <w:rPr>
          <w:rFonts w:asciiTheme="minorHAnsi" w:hAnsiTheme="minorHAnsi" w:cstheme="minorHAnsi"/>
          <w:b/>
        </w:rPr>
        <w:t xml:space="preserve">ocial </w:t>
      </w:r>
      <w:r w:rsidR="00FF0669" w:rsidRPr="00F970BD">
        <w:rPr>
          <w:rFonts w:asciiTheme="minorHAnsi" w:hAnsiTheme="minorHAnsi" w:cstheme="minorHAnsi"/>
          <w:b/>
        </w:rPr>
        <w:t>s</w:t>
      </w:r>
      <w:r w:rsidRPr="00F970BD">
        <w:rPr>
          <w:rFonts w:asciiTheme="minorHAnsi" w:hAnsiTheme="minorHAnsi" w:cstheme="minorHAnsi"/>
          <w:b/>
        </w:rPr>
        <w:t xml:space="preserve">ecurity </w:t>
      </w:r>
      <w:r w:rsidR="00FF0669" w:rsidRPr="00F970BD">
        <w:rPr>
          <w:rFonts w:asciiTheme="minorHAnsi" w:hAnsiTheme="minorHAnsi" w:cstheme="minorHAnsi"/>
          <w:b/>
        </w:rPr>
        <w:t>n</w:t>
      </w:r>
      <w:r w:rsidRPr="00F970BD">
        <w:rPr>
          <w:rFonts w:asciiTheme="minorHAnsi" w:hAnsiTheme="minorHAnsi" w:cstheme="minorHAnsi"/>
          <w:b/>
        </w:rPr>
        <w:t xml:space="preserve">umbers, </w:t>
      </w:r>
      <w:r w:rsidR="00FF0669" w:rsidRPr="00F970BD">
        <w:rPr>
          <w:rFonts w:asciiTheme="minorHAnsi" w:hAnsiTheme="minorHAnsi" w:cstheme="minorHAnsi"/>
          <w:b/>
        </w:rPr>
        <w:t>b</w:t>
      </w:r>
      <w:r w:rsidRPr="00F970BD">
        <w:rPr>
          <w:rFonts w:asciiTheme="minorHAnsi" w:hAnsiTheme="minorHAnsi" w:cstheme="minorHAnsi"/>
          <w:b/>
        </w:rPr>
        <w:t xml:space="preserve">irth </w:t>
      </w:r>
      <w:r w:rsidR="00FF0669" w:rsidRPr="00F970BD">
        <w:rPr>
          <w:rFonts w:asciiTheme="minorHAnsi" w:hAnsiTheme="minorHAnsi" w:cstheme="minorHAnsi"/>
          <w:b/>
        </w:rPr>
        <w:t>d</w:t>
      </w:r>
      <w:r w:rsidRPr="00F970BD">
        <w:rPr>
          <w:rFonts w:asciiTheme="minorHAnsi" w:hAnsiTheme="minorHAnsi" w:cstheme="minorHAnsi"/>
          <w:b/>
        </w:rPr>
        <w:t xml:space="preserve">ates, and </w:t>
      </w:r>
      <w:r w:rsidR="00FF0669" w:rsidRPr="00F970BD">
        <w:rPr>
          <w:rFonts w:asciiTheme="minorHAnsi" w:hAnsiTheme="minorHAnsi" w:cstheme="minorHAnsi"/>
          <w:b/>
        </w:rPr>
        <w:t>t</w:t>
      </w:r>
      <w:r w:rsidRPr="00F970BD">
        <w:rPr>
          <w:rFonts w:asciiTheme="minorHAnsi" w:hAnsiTheme="minorHAnsi" w:cstheme="minorHAnsi"/>
          <w:b/>
        </w:rPr>
        <w:t xml:space="preserve">elephone </w:t>
      </w:r>
      <w:r w:rsidR="00FF0669" w:rsidRPr="00F970BD">
        <w:rPr>
          <w:rFonts w:asciiTheme="minorHAnsi" w:hAnsiTheme="minorHAnsi" w:cstheme="minorHAnsi"/>
          <w:b/>
        </w:rPr>
        <w:t>n</w:t>
      </w:r>
      <w:r w:rsidRPr="00F970BD">
        <w:rPr>
          <w:rFonts w:asciiTheme="minorHAnsi" w:hAnsiTheme="minorHAnsi" w:cstheme="minorHAnsi"/>
          <w:b/>
        </w:rPr>
        <w:t>umbers:</w:t>
      </w:r>
      <w:r w:rsidRPr="00F970BD">
        <w:rPr>
          <w:rFonts w:asciiTheme="minorHAnsi" w:hAnsiTheme="minorHAnsi" w:cstheme="minorHAnsi"/>
        </w:rPr>
        <w:t xml:space="preserve"> ORS 192.502(3) exempts public body employee or volunteer addresses, social security numbers, dates of birth</w:t>
      </w:r>
      <w:r w:rsidR="00912B21" w:rsidRPr="00F970BD">
        <w:rPr>
          <w:rFonts w:asciiTheme="minorHAnsi" w:hAnsiTheme="minorHAnsi" w:cstheme="minorHAnsi"/>
        </w:rPr>
        <w:t>,</w:t>
      </w:r>
      <w:r w:rsidRPr="00F970BD">
        <w:rPr>
          <w:rFonts w:asciiTheme="minorHAnsi" w:hAnsiTheme="minorHAnsi" w:cstheme="minorHAnsi"/>
        </w:rPr>
        <w:t xml:space="preserve"> and telephone numbers contained in personnel records maintained by the public body that is the employer or the recipient of volunteer services.</w:t>
      </w:r>
      <w:r w:rsidR="00572585" w:rsidRPr="00F970BD">
        <w:rPr>
          <w:rFonts w:asciiTheme="minorHAnsi" w:hAnsiTheme="minorHAnsi" w:cstheme="minorHAnsi"/>
        </w:rPr>
        <w:t xml:space="preserve"> </w:t>
      </w:r>
      <w:r w:rsidRPr="00F970BD">
        <w:rPr>
          <w:rFonts w:asciiTheme="minorHAnsi" w:hAnsiTheme="minorHAnsi" w:cstheme="minorHAnsi"/>
        </w:rPr>
        <w:t>It does not apply to situation</w:t>
      </w:r>
      <w:r w:rsidR="000C12CE" w:rsidRPr="00F970BD">
        <w:rPr>
          <w:rFonts w:asciiTheme="minorHAnsi" w:hAnsiTheme="minorHAnsi" w:cstheme="minorHAnsi"/>
        </w:rPr>
        <w:t>s</w:t>
      </w:r>
      <w:r w:rsidRPr="00F970BD">
        <w:rPr>
          <w:rFonts w:asciiTheme="minorHAnsi" w:hAnsiTheme="minorHAnsi" w:cstheme="minorHAnsi"/>
        </w:rPr>
        <w:t xml:space="preserve"> where the requestor demonstrates by clear and convincing evidence that the public interest requires disclosure in a particular instance.</w:t>
      </w:r>
    </w:p>
    <w:p w14:paraId="57284C67" w14:textId="77777777" w:rsidR="006C17A8" w:rsidRPr="00F970BD" w:rsidRDefault="006C17A8" w:rsidP="00FD7DC3">
      <w:pPr>
        <w:spacing w:before="240"/>
        <w:ind w:left="540"/>
        <w:rPr>
          <w:rFonts w:asciiTheme="minorHAnsi" w:hAnsiTheme="minorHAnsi" w:cstheme="minorHAnsi"/>
        </w:rPr>
      </w:pPr>
      <w:r w:rsidRPr="00A76111">
        <w:rPr>
          <w:rFonts w:asciiTheme="minorHAnsi" w:hAnsiTheme="minorHAnsi" w:cstheme="minorHAnsi"/>
        </w:rPr>
        <w:t>4.</w:t>
      </w:r>
      <w:r w:rsidR="00FD7DC3" w:rsidRPr="00A76111">
        <w:rPr>
          <w:rFonts w:asciiTheme="minorHAnsi" w:hAnsiTheme="minorHAnsi" w:cstheme="minorHAnsi"/>
        </w:rPr>
        <w:t xml:space="preserve"> </w:t>
      </w:r>
      <w:r w:rsidRPr="00F970BD">
        <w:rPr>
          <w:rFonts w:asciiTheme="minorHAnsi" w:hAnsiTheme="minorHAnsi" w:cstheme="minorHAnsi"/>
          <w:b/>
        </w:rPr>
        <w:t xml:space="preserve">Confidential </w:t>
      </w:r>
      <w:r w:rsidR="00FF0669" w:rsidRPr="00F970BD">
        <w:rPr>
          <w:rFonts w:asciiTheme="minorHAnsi" w:hAnsiTheme="minorHAnsi" w:cstheme="minorHAnsi"/>
          <w:b/>
        </w:rPr>
        <w:t>s</w:t>
      </w:r>
      <w:r w:rsidRPr="00F970BD">
        <w:rPr>
          <w:rFonts w:asciiTheme="minorHAnsi" w:hAnsiTheme="minorHAnsi" w:cstheme="minorHAnsi"/>
          <w:b/>
        </w:rPr>
        <w:t>ubmissions:</w:t>
      </w:r>
      <w:r w:rsidRPr="00F970BD">
        <w:rPr>
          <w:rFonts w:asciiTheme="minorHAnsi" w:hAnsiTheme="minorHAnsi" w:cstheme="minorHAnsi"/>
        </w:rPr>
        <w:t xml:space="preserve"> ORS 192.502(4) exempts information submitted to a public body in confidence</w:t>
      </w:r>
      <w:r w:rsidR="00912B21" w:rsidRPr="00F970BD">
        <w:rPr>
          <w:rFonts w:asciiTheme="minorHAnsi" w:hAnsiTheme="minorHAnsi" w:cstheme="minorHAnsi"/>
        </w:rPr>
        <w:t>,</w:t>
      </w:r>
      <w:r w:rsidRPr="00F970BD">
        <w:rPr>
          <w:rFonts w:asciiTheme="minorHAnsi" w:hAnsiTheme="minorHAnsi" w:cstheme="minorHAnsi"/>
        </w:rPr>
        <w:t xml:space="preserve"> and not otherwise required by law to be submitted, where such information should reasonably be considered confidential, the public body has obliged itself in good faith not to disclose the information, and when the public interest would suffer by the disclosure.</w:t>
      </w:r>
    </w:p>
    <w:p w14:paraId="57284C68" w14:textId="77777777" w:rsidR="006C17A8" w:rsidRPr="00F970BD" w:rsidRDefault="006F5A01" w:rsidP="00FD7DC3">
      <w:pPr>
        <w:spacing w:before="240"/>
        <w:ind w:left="540"/>
        <w:rPr>
          <w:rFonts w:asciiTheme="minorHAnsi" w:hAnsiTheme="minorHAnsi" w:cstheme="minorHAnsi"/>
        </w:rPr>
      </w:pPr>
      <w:r w:rsidRPr="00A76111">
        <w:rPr>
          <w:rFonts w:asciiTheme="minorHAnsi" w:hAnsiTheme="minorHAnsi" w:cstheme="minorHAnsi"/>
        </w:rPr>
        <w:t>5</w:t>
      </w:r>
      <w:r w:rsidR="006C17A8" w:rsidRPr="00A76111">
        <w:rPr>
          <w:rFonts w:asciiTheme="minorHAnsi" w:hAnsiTheme="minorHAnsi" w:cstheme="minorHAnsi"/>
        </w:rPr>
        <w:t>.</w:t>
      </w:r>
      <w:r w:rsidR="00FD7DC3" w:rsidRPr="00A76111">
        <w:rPr>
          <w:rFonts w:asciiTheme="minorHAnsi" w:hAnsiTheme="minorHAnsi" w:cstheme="minorHAnsi"/>
        </w:rPr>
        <w:t xml:space="preserve"> </w:t>
      </w:r>
      <w:r w:rsidR="006C17A8" w:rsidRPr="00F970BD">
        <w:rPr>
          <w:rFonts w:asciiTheme="minorHAnsi" w:hAnsiTheme="minorHAnsi" w:cstheme="minorHAnsi"/>
          <w:b/>
        </w:rPr>
        <w:t xml:space="preserve">Federal </w:t>
      </w:r>
      <w:r w:rsidR="00FF0669" w:rsidRPr="00F970BD">
        <w:rPr>
          <w:rFonts w:asciiTheme="minorHAnsi" w:hAnsiTheme="minorHAnsi" w:cstheme="minorHAnsi"/>
          <w:b/>
        </w:rPr>
        <w:t>l</w:t>
      </w:r>
      <w:r w:rsidR="006C17A8" w:rsidRPr="00F970BD">
        <w:rPr>
          <w:rFonts w:asciiTheme="minorHAnsi" w:hAnsiTheme="minorHAnsi" w:cstheme="minorHAnsi"/>
          <w:b/>
        </w:rPr>
        <w:t xml:space="preserve">aw </w:t>
      </w:r>
      <w:r w:rsidR="00FF0669" w:rsidRPr="00F970BD">
        <w:rPr>
          <w:rFonts w:asciiTheme="minorHAnsi" w:hAnsiTheme="minorHAnsi" w:cstheme="minorHAnsi"/>
          <w:b/>
        </w:rPr>
        <w:t>e</w:t>
      </w:r>
      <w:r w:rsidR="006C17A8" w:rsidRPr="00F970BD">
        <w:rPr>
          <w:rFonts w:asciiTheme="minorHAnsi" w:hAnsiTheme="minorHAnsi" w:cstheme="minorHAnsi"/>
          <w:b/>
        </w:rPr>
        <w:t>xemption:</w:t>
      </w:r>
      <w:r w:rsidR="006C17A8" w:rsidRPr="00F970BD">
        <w:rPr>
          <w:rFonts w:asciiTheme="minorHAnsi" w:hAnsiTheme="minorHAnsi" w:cstheme="minorHAnsi"/>
        </w:rPr>
        <w:t xml:space="preserve"> ORS 192.502</w:t>
      </w:r>
      <w:r w:rsidR="00945788" w:rsidRPr="00F970BD">
        <w:rPr>
          <w:rFonts w:asciiTheme="minorHAnsi" w:hAnsiTheme="minorHAnsi" w:cstheme="minorHAnsi"/>
        </w:rPr>
        <w:t>(8)</w:t>
      </w:r>
      <w:r w:rsidR="006C17A8" w:rsidRPr="00F970BD">
        <w:rPr>
          <w:rFonts w:asciiTheme="minorHAnsi" w:hAnsiTheme="minorHAnsi" w:cstheme="minorHAnsi"/>
        </w:rPr>
        <w:t xml:space="preserve"> exempts any public records or information the disclosure </w:t>
      </w:r>
      <w:r w:rsidR="00945788" w:rsidRPr="00F970BD">
        <w:rPr>
          <w:rFonts w:asciiTheme="minorHAnsi" w:hAnsiTheme="minorHAnsi" w:cstheme="minorHAnsi"/>
        </w:rPr>
        <w:t>o</w:t>
      </w:r>
      <w:r w:rsidR="006C17A8" w:rsidRPr="00F970BD">
        <w:rPr>
          <w:rFonts w:asciiTheme="minorHAnsi" w:hAnsiTheme="minorHAnsi" w:cstheme="minorHAnsi"/>
        </w:rPr>
        <w:t>f which is prohibited by federal law or regulations.</w:t>
      </w:r>
    </w:p>
    <w:p w14:paraId="57284C69" w14:textId="77777777" w:rsidR="006C17A8" w:rsidRPr="00F970BD" w:rsidRDefault="006F5A01" w:rsidP="00FD7DC3">
      <w:pPr>
        <w:spacing w:before="240"/>
        <w:ind w:left="540"/>
        <w:rPr>
          <w:rFonts w:asciiTheme="minorHAnsi" w:hAnsiTheme="minorHAnsi" w:cstheme="minorHAnsi"/>
        </w:rPr>
      </w:pPr>
      <w:r w:rsidRPr="00A76111">
        <w:rPr>
          <w:rFonts w:asciiTheme="minorHAnsi" w:hAnsiTheme="minorHAnsi" w:cstheme="minorHAnsi"/>
        </w:rPr>
        <w:t>6</w:t>
      </w:r>
      <w:r w:rsidR="006C17A8" w:rsidRPr="00A76111">
        <w:rPr>
          <w:rFonts w:asciiTheme="minorHAnsi" w:hAnsiTheme="minorHAnsi" w:cstheme="minorHAnsi"/>
        </w:rPr>
        <w:t>.</w:t>
      </w:r>
      <w:r w:rsidR="00FD7DC3" w:rsidRPr="00A76111">
        <w:rPr>
          <w:rFonts w:asciiTheme="minorHAnsi" w:hAnsiTheme="minorHAnsi" w:cstheme="minorHAnsi"/>
        </w:rPr>
        <w:t xml:space="preserve"> </w:t>
      </w:r>
      <w:r w:rsidR="006C17A8" w:rsidRPr="00F970BD">
        <w:rPr>
          <w:rFonts w:asciiTheme="minorHAnsi" w:hAnsiTheme="minorHAnsi" w:cstheme="minorHAnsi"/>
          <w:b/>
        </w:rPr>
        <w:t xml:space="preserve">Other </w:t>
      </w:r>
      <w:r w:rsidR="009554D5" w:rsidRPr="00F970BD">
        <w:rPr>
          <w:rFonts w:asciiTheme="minorHAnsi" w:hAnsiTheme="minorHAnsi" w:cstheme="minorHAnsi"/>
          <w:b/>
        </w:rPr>
        <w:t xml:space="preserve">Oregon </w:t>
      </w:r>
      <w:r w:rsidR="00FF0669" w:rsidRPr="00F970BD">
        <w:rPr>
          <w:rFonts w:asciiTheme="minorHAnsi" w:hAnsiTheme="minorHAnsi" w:cstheme="minorHAnsi"/>
          <w:b/>
        </w:rPr>
        <w:t>s</w:t>
      </w:r>
      <w:r w:rsidR="006C17A8" w:rsidRPr="00F970BD">
        <w:rPr>
          <w:rFonts w:asciiTheme="minorHAnsi" w:hAnsiTheme="minorHAnsi" w:cstheme="minorHAnsi"/>
          <w:b/>
        </w:rPr>
        <w:t xml:space="preserve">tatutes </w:t>
      </w:r>
      <w:r w:rsidR="00FF0669" w:rsidRPr="00F970BD">
        <w:rPr>
          <w:rFonts w:asciiTheme="minorHAnsi" w:hAnsiTheme="minorHAnsi" w:cstheme="minorHAnsi"/>
          <w:b/>
        </w:rPr>
        <w:t>e</w:t>
      </w:r>
      <w:r w:rsidR="006C17A8" w:rsidRPr="00F970BD">
        <w:rPr>
          <w:rFonts w:asciiTheme="minorHAnsi" w:hAnsiTheme="minorHAnsi" w:cstheme="minorHAnsi"/>
          <w:b/>
        </w:rPr>
        <w:t xml:space="preserve">stablishing </w:t>
      </w:r>
      <w:r w:rsidR="00FF0669" w:rsidRPr="00F970BD">
        <w:rPr>
          <w:rFonts w:asciiTheme="minorHAnsi" w:hAnsiTheme="minorHAnsi" w:cstheme="minorHAnsi"/>
          <w:b/>
        </w:rPr>
        <w:t>s</w:t>
      </w:r>
      <w:r w:rsidR="006C17A8" w:rsidRPr="00F970BD">
        <w:rPr>
          <w:rFonts w:asciiTheme="minorHAnsi" w:hAnsiTheme="minorHAnsi" w:cstheme="minorHAnsi"/>
          <w:b/>
        </w:rPr>
        <w:t xml:space="preserve">pecific </w:t>
      </w:r>
      <w:r w:rsidR="00FF0669" w:rsidRPr="00F970BD">
        <w:rPr>
          <w:rFonts w:asciiTheme="minorHAnsi" w:hAnsiTheme="minorHAnsi" w:cstheme="minorHAnsi"/>
          <w:b/>
        </w:rPr>
        <w:t>e</w:t>
      </w:r>
      <w:r w:rsidR="006C17A8" w:rsidRPr="00F970BD">
        <w:rPr>
          <w:rFonts w:asciiTheme="minorHAnsi" w:hAnsiTheme="minorHAnsi" w:cstheme="minorHAnsi"/>
          <w:b/>
        </w:rPr>
        <w:t>xemptions:</w:t>
      </w:r>
      <w:r w:rsidR="006C17A8" w:rsidRPr="00F970BD">
        <w:rPr>
          <w:rFonts w:asciiTheme="minorHAnsi" w:hAnsiTheme="minorHAnsi" w:cstheme="minorHAnsi"/>
        </w:rPr>
        <w:t xml:space="preserve"> ORS 192.502(9) exempts public records or information the disclosure of which is prohibited or otherwise made confidential or privileged under Oregon law.</w:t>
      </w:r>
    </w:p>
    <w:p w14:paraId="57284C6A" w14:textId="77777777" w:rsidR="006C17A8" w:rsidRPr="00F970BD" w:rsidRDefault="006F5A01" w:rsidP="00FD7DC3">
      <w:pPr>
        <w:spacing w:before="240"/>
        <w:ind w:left="540"/>
        <w:rPr>
          <w:rFonts w:asciiTheme="minorHAnsi" w:hAnsiTheme="minorHAnsi" w:cstheme="minorHAnsi"/>
        </w:rPr>
      </w:pPr>
      <w:r w:rsidRPr="00A76111">
        <w:rPr>
          <w:rFonts w:asciiTheme="minorHAnsi" w:hAnsiTheme="minorHAnsi" w:cstheme="minorHAnsi"/>
        </w:rPr>
        <w:t>7</w:t>
      </w:r>
      <w:r w:rsidR="006C17A8" w:rsidRPr="00A76111">
        <w:rPr>
          <w:rFonts w:asciiTheme="minorHAnsi" w:hAnsiTheme="minorHAnsi" w:cstheme="minorHAnsi"/>
        </w:rPr>
        <w:t>.</w:t>
      </w:r>
      <w:r w:rsidR="00FD7DC3" w:rsidRPr="00A76111">
        <w:rPr>
          <w:rFonts w:asciiTheme="minorHAnsi" w:hAnsiTheme="minorHAnsi" w:cstheme="minorHAnsi"/>
        </w:rPr>
        <w:t xml:space="preserve"> </w:t>
      </w:r>
      <w:r w:rsidR="006C17A8" w:rsidRPr="00F970BD">
        <w:rPr>
          <w:rFonts w:asciiTheme="minorHAnsi" w:hAnsiTheme="minorHAnsi" w:cstheme="minorHAnsi"/>
          <w:b/>
        </w:rPr>
        <w:t xml:space="preserve">Transferred </w:t>
      </w:r>
      <w:r w:rsidR="00FF0669" w:rsidRPr="00F970BD">
        <w:rPr>
          <w:rFonts w:asciiTheme="minorHAnsi" w:hAnsiTheme="minorHAnsi" w:cstheme="minorHAnsi"/>
          <w:b/>
        </w:rPr>
        <w:t>r</w:t>
      </w:r>
      <w:r w:rsidR="006C17A8" w:rsidRPr="00F970BD">
        <w:rPr>
          <w:rFonts w:asciiTheme="minorHAnsi" w:hAnsiTheme="minorHAnsi" w:cstheme="minorHAnsi"/>
          <w:b/>
        </w:rPr>
        <w:t>ecords:</w:t>
      </w:r>
      <w:r w:rsidR="006C17A8" w:rsidRPr="00F970BD">
        <w:rPr>
          <w:rFonts w:asciiTheme="minorHAnsi" w:hAnsiTheme="minorHAnsi" w:cstheme="minorHAnsi"/>
        </w:rPr>
        <w:t xml:space="preserve"> ORS 192.502(10) exempts public records or information described in this section, furnished by the public body originally compiling, preparing</w:t>
      </w:r>
      <w:r w:rsidR="00912B21" w:rsidRPr="00F970BD">
        <w:rPr>
          <w:rFonts w:asciiTheme="minorHAnsi" w:hAnsiTheme="minorHAnsi" w:cstheme="minorHAnsi"/>
        </w:rPr>
        <w:t>,</w:t>
      </w:r>
      <w:r w:rsidR="006C17A8" w:rsidRPr="00F970BD">
        <w:rPr>
          <w:rFonts w:asciiTheme="minorHAnsi" w:hAnsiTheme="minorHAnsi" w:cstheme="minorHAnsi"/>
        </w:rPr>
        <w:t xml:space="preserve"> or receiving them</w:t>
      </w:r>
      <w:r w:rsidR="00912B21" w:rsidRPr="00F970BD">
        <w:rPr>
          <w:rFonts w:asciiTheme="minorHAnsi" w:hAnsiTheme="minorHAnsi" w:cstheme="minorHAnsi"/>
        </w:rPr>
        <w:t>,</w:t>
      </w:r>
      <w:r w:rsidR="006C17A8" w:rsidRPr="00F970BD">
        <w:rPr>
          <w:rFonts w:asciiTheme="minorHAnsi" w:hAnsiTheme="minorHAnsi" w:cstheme="minorHAnsi"/>
        </w:rPr>
        <w:t xml:space="preserve"> to any other public officer or public body in connection with performance of the duties of the recipient, if the considerations originally giving rise to the confidential or exempt nature of the public records remain applicable.</w:t>
      </w:r>
    </w:p>
    <w:p w14:paraId="57284C6B" w14:textId="77777777" w:rsidR="006C17A8" w:rsidRPr="00F970BD" w:rsidRDefault="006C17A8" w:rsidP="00FD7DC3">
      <w:pPr>
        <w:spacing w:before="240"/>
        <w:ind w:left="540"/>
        <w:rPr>
          <w:rFonts w:asciiTheme="minorHAnsi" w:hAnsiTheme="minorHAnsi" w:cstheme="minorHAnsi"/>
        </w:rPr>
      </w:pPr>
      <w:r w:rsidRPr="00A76111">
        <w:rPr>
          <w:rFonts w:asciiTheme="minorHAnsi" w:hAnsiTheme="minorHAnsi" w:cstheme="minorHAnsi"/>
        </w:rPr>
        <w:t>8.</w:t>
      </w:r>
      <w:r w:rsidR="00FD7DC3" w:rsidRPr="00A76111">
        <w:rPr>
          <w:rFonts w:asciiTheme="minorHAnsi" w:hAnsiTheme="minorHAnsi" w:cstheme="minorHAnsi"/>
        </w:rPr>
        <w:t xml:space="preserve"> </w:t>
      </w:r>
      <w:r w:rsidRPr="00F970BD">
        <w:rPr>
          <w:rFonts w:asciiTheme="minorHAnsi" w:hAnsiTheme="minorHAnsi" w:cstheme="minorHAnsi"/>
          <w:b/>
        </w:rPr>
        <w:t xml:space="preserve">Alternative </w:t>
      </w:r>
      <w:r w:rsidR="00FF0669" w:rsidRPr="00F970BD">
        <w:rPr>
          <w:rFonts w:asciiTheme="minorHAnsi" w:hAnsiTheme="minorHAnsi" w:cstheme="minorHAnsi"/>
          <w:b/>
        </w:rPr>
        <w:t>t</w:t>
      </w:r>
      <w:r w:rsidRPr="00F970BD">
        <w:rPr>
          <w:rFonts w:asciiTheme="minorHAnsi" w:hAnsiTheme="minorHAnsi" w:cstheme="minorHAnsi"/>
          <w:b/>
        </w:rPr>
        <w:t xml:space="preserve">ransportation </w:t>
      </w:r>
      <w:r w:rsidR="00FF0669" w:rsidRPr="00F970BD">
        <w:rPr>
          <w:rFonts w:asciiTheme="minorHAnsi" w:hAnsiTheme="minorHAnsi" w:cstheme="minorHAnsi"/>
          <w:b/>
        </w:rPr>
        <w:t>a</w:t>
      </w:r>
      <w:r w:rsidRPr="00F970BD">
        <w:rPr>
          <w:rFonts w:asciiTheme="minorHAnsi" w:hAnsiTheme="minorHAnsi" w:cstheme="minorHAnsi"/>
          <w:b/>
        </w:rPr>
        <w:t>ddresses:</w:t>
      </w:r>
      <w:r w:rsidRPr="00F970BD">
        <w:rPr>
          <w:rFonts w:asciiTheme="minorHAnsi" w:hAnsiTheme="minorHAnsi" w:cstheme="minorHAnsi"/>
        </w:rPr>
        <w:t xml:space="preserve"> ORS 192.502(28) exempts a record of the street and number of an employee’s address submitted to a special district to obtain assistance in promoting an alternative to single occupant motor vehicle transportation.</w:t>
      </w:r>
    </w:p>
    <w:p w14:paraId="57284C6C" w14:textId="77777777" w:rsidR="006C17A8" w:rsidRPr="00F970BD" w:rsidRDefault="006F5A01" w:rsidP="00FD7DC3">
      <w:pPr>
        <w:spacing w:before="240"/>
        <w:ind w:left="540"/>
        <w:rPr>
          <w:rFonts w:asciiTheme="minorHAnsi" w:hAnsiTheme="minorHAnsi" w:cstheme="minorHAnsi"/>
        </w:rPr>
      </w:pPr>
      <w:r w:rsidRPr="00A76111">
        <w:rPr>
          <w:rFonts w:asciiTheme="minorHAnsi" w:hAnsiTheme="minorHAnsi" w:cstheme="minorHAnsi"/>
        </w:rPr>
        <w:t>9</w:t>
      </w:r>
      <w:r w:rsidR="006C17A8" w:rsidRPr="00A76111">
        <w:rPr>
          <w:rFonts w:asciiTheme="minorHAnsi" w:hAnsiTheme="minorHAnsi" w:cstheme="minorHAnsi"/>
        </w:rPr>
        <w:t>.</w:t>
      </w:r>
      <w:r w:rsidR="00FD7DC3" w:rsidRPr="00A76111">
        <w:rPr>
          <w:rFonts w:asciiTheme="minorHAnsi" w:hAnsiTheme="minorHAnsi" w:cstheme="minorHAnsi"/>
        </w:rPr>
        <w:t xml:space="preserve"> </w:t>
      </w:r>
      <w:r w:rsidR="006C17A8" w:rsidRPr="00F970BD">
        <w:rPr>
          <w:rFonts w:asciiTheme="minorHAnsi" w:hAnsiTheme="minorHAnsi" w:cstheme="minorHAnsi"/>
          <w:b/>
        </w:rPr>
        <w:t xml:space="preserve">Security </w:t>
      </w:r>
      <w:r w:rsidR="00FF0669" w:rsidRPr="00F970BD">
        <w:rPr>
          <w:rFonts w:asciiTheme="minorHAnsi" w:hAnsiTheme="minorHAnsi" w:cstheme="minorHAnsi"/>
          <w:b/>
        </w:rPr>
        <w:t>p</w:t>
      </w:r>
      <w:r w:rsidR="006C17A8" w:rsidRPr="00F970BD">
        <w:rPr>
          <w:rFonts w:asciiTheme="minorHAnsi" w:hAnsiTheme="minorHAnsi" w:cstheme="minorHAnsi"/>
          <w:b/>
        </w:rPr>
        <w:t>rograms:</w:t>
      </w:r>
      <w:r w:rsidR="006C17A8" w:rsidRPr="00F970BD">
        <w:rPr>
          <w:rFonts w:asciiTheme="minorHAnsi" w:hAnsiTheme="minorHAnsi" w:cstheme="minorHAnsi"/>
        </w:rPr>
        <w:t xml:space="preserve"> ORS 192.502(32) exempts information about review or approval of programs relating to security of the generation, storage, or conveyance of electricity, gas, hazardous substances, petroleum products, sewage, or water; </w:t>
      </w:r>
      <w:r w:rsidR="00912B21" w:rsidRPr="00F970BD">
        <w:rPr>
          <w:rFonts w:asciiTheme="minorHAnsi" w:hAnsiTheme="minorHAnsi" w:cstheme="minorHAnsi"/>
        </w:rPr>
        <w:t xml:space="preserve">and </w:t>
      </w:r>
      <w:r w:rsidR="006C17A8" w:rsidRPr="00F970BD">
        <w:rPr>
          <w:rFonts w:asciiTheme="minorHAnsi" w:hAnsiTheme="minorHAnsi" w:cstheme="minorHAnsi"/>
        </w:rPr>
        <w:t>programs relating to telecommunications systems and data transmission by whatever means provided.</w:t>
      </w:r>
    </w:p>
    <w:p w14:paraId="57284C6D" w14:textId="77777777" w:rsidR="008B68B0" w:rsidRPr="00F970BD" w:rsidRDefault="008B68B0" w:rsidP="0005640B">
      <w:pPr>
        <w:pStyle w:val="BodyText"/>
        <w:jc w:val="left"/>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C6E" w14:textId="77777777" w:rsidR="006C17A8" w:rsidRPr="00F970BD" w:rsidRDefault="006C17A8" w:rsidP="0005640B">
      <w:pPr>
        <w:tabs>
          <w:tab w:val="left" w:pos="360"/>
        </w:tabs>
        <w:spacing w:before="240"/>
        <w:rPr>
          <w:rFonts w:asciiTheme="minorHAnsi" w:hAnsiTheme="minorHAnsi" w:cstheme="minorHAnsi"/>
        </w:rPr>
      </w:pPr>
      <w:r w:rsidRPr="00F970BD">
        <w:rPr>
          <w:rFonts w:asciiTheme="minorHAnsi" w:hAnsiTheme="minorHAnsi" w:cstheme="minorHAnsi"/>
          <w:b/>
        </w:rPr>
        <w:t xml:space="preserve">Separation of </w:t>
      </w:r>
      <w:r w:rsidR="00FF0669" w:rsidRPr="00F970BD">
        <w:rPr>
          <w:rFonts w:asciiTheme="minorHAnsi" w:hAnsiTheme="minorHAnsi" w:cstheme="minorHAnsi"/>
          <w:b/>
        </w:rPr>
        <w:t>e</w:t>
      </w:r>
      <w:r w:rsidRPr="00F970BD">
        <w:rPr>
          <w:rFonts w:asciiTheme="minorHAnsi" w:hAnsiTheme="minorHAnsi" w:cstheme="minorHAnsi"/>
          <w:b/>
        </w:rPr>
        <w:t xml:space="preserve">xempt and </w:t>
      </w:r>
      <w:r w:rsidR="00FF0669" w:rsidRPr="00F970BD">
        <w:rPr>
          <w:rFonts w:asciiTheme="minorHAnsi" w:hAnsiTheme="minorHAnsi" w:cstheme="minorHAnsi"/>
          <w:b/>
        </w:rPr>
        <w:t>n</w:t>
      </w:r>
      <w:r w:rsidRPr="00F970BD">
        <w:rPr>
          <w:rFonts w:asciiTheme="minorHAnsi" w:hAnsiTheme="minorHAnsi" w:cstheme="minorHAnsi"/>
          <w:b/>
        </w:rPr>
        <w:t>on-</w:t>
      </w:r>
      <w:r w:rsidR="00FF0669" w:rsidRPr="00F970BD">
        <w:rPr>
          <w:rFonts w:asciiTheme="minorHAnsi" w:hAnsiTheme="minorHAnsi" w:cstheme="minorHAnsi"/>
          <w:b/>
        </w:rPr>
        <w:t>e</w:t>
      </w:r>
      <w:r w:rsidRPr="00F970BD">
        <w:rPr>
          <w:rFonts w:asciiTheme="minorHAnsi" w:hAnsiTheme="minorHAnsi" w:cstheme="minorHAnsi"/>
          <w:b/>
        </w:rPr>
        <w:t xml:space="preserve">xempt </w:t>
      </w:r>
      <w:r w:rsidR="00FF0669" w:rsidRPr="00F970BD">
        <w:rPr>
          <w:rFonts w:asciiTheme="minorHAnsi" w:hAnsiTheme="minorHAnsi" w:cstheme="minorHAnsi"/>
          <w:b/>
        </w:rPr>
        <w:t>m</w:t>
      </w:r>
      <w:r w:rsidRPr="00F970BD">
        <w:rPr>
          <w:rFonts w:asciiTheme="minorHAnsi" w:hAnsiTheme="minorHAnsi" w:cstheme="minorHAnsi"/>
          <w:b/>
        </w:rPr>
        <w:t>aterial:</w:t>
      </w:r>
      <w:r w:rsidRPr="00F970BD">
        <w:rPr>
          <w:rFonts w:asciiTheme="minorHAnsi" w:hAnsiTheme="minorHAnsi" w:cstheme="minorHAnsi"/>
        </w:rPr>
        <w:t xml:space="preserve"> ORS 192.50</w:t>
      </w:r>
      <w:r w:rsidR="008B68B0" w:rsidRPr="00F970BD">
        <w:rPr>
          <w:rFonts w:asciiTheme="minorHAnsi" w:hAnsiTheme="minorHAnsi" w:cstheme="minorHAnsi"/>
        </w:rPr>
        <w:t>5</w:t>
      </w:r>
      <w:r w:rsidRPr="00F970BD">
        <w:rPr>
          <w:rFonts w:asciiTheme="minorHAnsi" w:hAnsiTheme="minorHAnsi" w:cstheme="minorHAnsi"/>
        </w:rPr>
        <w:t xml:space="preserve"> provides that if any public record contains material </w:t>
      </w:r>
      <w:r w:rsidR="007D6EAD">
        <w:rPr>
          <w:rFonts w:asciiTheme="minorHAnsi" w:hAnsiTheme="minorHAnsi" w:cstheme="minorHAnsi"/>
        </w:rPr>
        <w:t xml:space="preserve">that </w:t>
      </w:r>
      <w:r w:rsidRPr="00F970BD">
        <w:rPr>
          <w:rFonts w:asciiTheme="minorHAnsi" w:hAnsiTheme="minorHAnsi" w:cstheme="minorHAnsi"/>
        </w:rPr>
        <w:t>is not exempt under ORS 192</w:t>
      </w:r>
      <w:r w:rsidR="00C9495E" w:rsidRPr="00F970BD">
        <w:rPr>
          <w:rFonts w:asciiTheme="minorHAnsi" w:hAnsiTheme="minorHAnsi" w:cstheme="minorHAnsi"/>
        </w:rPr>
        <w:t>.</w:t>
      </w:r>
      <w:r w:rsidRPr="00F970BD">
        <w:rPr>
          <w:rFonts w:asciiTheme="minorHAnsi" w:hAnsiTheme="minorHAnsi" w:cstheme="minorHAnsi"/>
        </w:rPr>
        <w:t xml:space="preserve">501 and 192.502, as well as material </w:t>
      </w:r>
      <w:r w:rsidR="007D6EAD">
        <w:rPr>
          <w:rFonts w:asciiTheme="minorHAnsi" w:hAnsiTheme="minorHAnsi" w:cstheme="minorHAnsi"/>
        </w:rPr>
        <w:t xml:space="preserve">that </w:t>
      </w:r>
      <w:r w:rsidRPr="00F970BD">
        <w:rPr>
          <w:rFonts w:asciiTheme="minorHAnsi" w:hAnsiTheme="minorHAnsi" w:cstheme="minorHAnsi"/>
        </w:rPr>
        <w:t>is exempt from disclosure, the public body shall separate the exempt and non-exempt material and make the non-exempt material available f</w:t>
      </w:r>
      <w:r w:rsidR="00912B21" w:rsidRPr="00F970BD">
        <w:rPr>
          <w:rFonts w:asciiTheme="minorHAnsi" w:hAnsiTheme="minorHAnsi" w:cstheme="minorHAnsi"/>
        </w:rPr>
        <w:t>or</w:t>
      </w:r>
      <w:r w:rsidRPr="00F970BD">
        <w:rPr>
          <w:rFonts w:asciiTheme="minorHAnsi" w:hAnsiTheme="minorHAnsi" w:cstheme="minorHAnsi"/>
        </w:rPr>
        <w:t xml:space="preserve"> examination.</w:t>
      </w:r>
    </w:p>
    <w:p w14:paraId="57284C6F" w14:textId="77777777" w:rsidR="00A526A3" w:rsidRPr="00F970BD" w:rsidRDefault="00A526A3" w:rsidP="0005640B">
      <w:pPr>
        <w:pStyle w:val="BodyText"/>
        <w:jc w:val="left"/>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C70" w14:textId="77777777" w:rsidR="006C17A8" w:rsidRPr="00F970BD" w:rsidRDefault="006C17A8" w:rsidP="0005640B">
      <w:pPr>
        <w:tabs>
          <w:tab w:val="left" w:pos="360"/>
        </w:tabs>
        <w:spacing w:before="240"/>
        <w:rPr>
          <w:rFonts w:asciiTheme="minorHAnsi" w:hAnsiTheme="minorHAnsi" w:cstheme="minorHAnsi"/>
        </w:rPr>
      </w:pPr>
      <w:r w:rsidRPr="00F970BD">
        <w:rPr>
          <w:rFonts w:asciiTheme="minorHAnsi" w:hAnsiTheme="minorHAnsi" w:cstheme="minorHAnsi"/>
          <w:b/>
        </w:rPr>
        <w:t xml:space="preserve">Records </w:t>
      </w:r>
      <w:r w:rsidR="00FF0669" w:rsidRPr="00F970BD">
        <w:rPr>
          <w:rFonts w:asciiTheme="minorHAnsi" w:hAnsiTheme="minorHAnsi" w:cstheme="minorHAnsi"/>
          <w:b/>
        </w:rPr>
        <w:t>m</w:t>
      </w:r>
      <w:r w:rsidRPr="00F970BD">
        <w:rPr>
          <w:rFonts w:asciiTheme="minorHAnsi" w:hAnsiTheme="minorHAnsi" w:cstheme="minorHAnsi"/>
          <w:b/>
        </w:rPr>
        <w:t xml:space="preserve">ore than 25 Years </w:t>
      </w:r>
      <w:r w:rsidR="00FF0669" w:rsidRPr="00F970BD">
        <w:rPr>
          <w:rFonts w:asciiTheme="minorHAnsi" w:hAnsiTheme="minorHAnsi" w:cstheme="minorHAnsi"/>
          <w:b/>
        </w:rPr>
        <w:t>o</w:t>
      </w:r>
      <w:r w:rsidRPr="00F970BD">
        <w:rPr>
          <w:rFonts w:asciiTheme="minorHAnsi" w:hAnsiTheme="minorHAnsi" w:cstheme="minorHAnsi"/>
          <w:b/>
        </w:rPr>
        <w:t>ld:</w:t>
      </w:r>
      <w:r w:rsidRPr="00F970BD">
        <w:rPr>
          <w:rFonts w:asciiTheme="minorHAnsi" w:hAnsiTheme="minorHAnsi" w:cstheme="minorHAnsi"/>
        </w:rPr>
        <w:t xml:space="preserve"> Generally the </w:t>
      </w:r>
      <w:r w:rsidR="00FF0669" w:rsidRPr="00F970BD">
        <w:rPr>
          <w:rFonts w:asciiTheme="minorHAnsi" w:hAnsiTheme="minorHAnsi" w:cstheme="minorHAnsi"/>
        </w:rPr>
        <w:t>p</w:t>
      </w:r>
      <w:r w:rsidRPr="00F970BD">
        <w:rPr>
          <w:rFonts w:asciiTheme="minorHAnsi" w:hAnsiTheme="minorHAnsi" w:cstheme="minorHAnsi"/>
        </w:rPr>
        <w:t xml:space="preserve">ublic </w:t>
      </w:r>
      <w:r w:rsidR="00FF0669" w:rsidRPr="00F970BD">
        <w:rPr>
          <w:rFonts w:asciiTheme="minorHAnsi" w:hAnsiTheme="minorHAnsi" w:cstheme="minorHAnsi"/>
        </w:rPr>
        <w:t>r</w:t>
      </w:r>
      <w:r w:rsidRPr="00F970BD">
        <w:rPr>
          <w:rFonts w:asciiTheme="minorHAnsi" w:hAnsiTheme="minorHAnsi" w:cstheme="minorHAnsi"/>
        </w:rPr>
        <w:t xml:space="preserve">ecords </w:t>
      </w:r>
      <w:r w:rsidR="00FF0669" w:rsidRPr="00F970BD">
        <w:rPr>
          <w:rFonts w:asciiTheme="minorHAnsi" w:hAnsiTheme="minorHAnsi" w:cstheme="minorHAnsi"/>
        </w:rPr>
        <w:t>l</w:t>
      </w:r>
      <w:r w:rsidRPr="00F970BD">
        <w:rPr>
          <w:rFonts w:asciiTheme="minorHAnsi" w:hAnsiTheme="minorHAnsi" w:cstheme="minorHAnsi"/>
        </w:rPr>
        <w:t>aw does not exempt from disclosure records that are more than 25 years old.</w:t>
      </w:r>
      <w:r w:rsidR="00FD7DC3">
        <w:rPr>
          <w:rFonts w:asciiTheme="minorHAnsi" w:hAnsiTheme="minorHAnsi" w:cstheme="minorHAnsi"/>
        </w:rPr>
        <w:t xml:space="preserve"> (ORS 192.495) Exceptions to this requirement are provided in ORS 192.496.</w:t>
      </w:r>
    </w:p>
    <w:p w14:paraId="57284C71" w14:textId="77777777" w:rsidR="00A526A3" w:rsidRPr="00F970BD" w:rsidRDefault="00A526A3" w:rsidP="0005640B">
      <w:pPr>
        <w:pStyle w:val="BodyText"/>
        <w:jc w:val="left"/>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C72" w14:textId="77777777" w:rsidR="006C17A8" w:rsidRPr="00F970BD" w:rsidRDefault="00B2185F" w:rsidP="0005640B">
      <w:pPr>
        <w:tabs>
          <w:tab w:val="left" w:pos="360"/>
        </w:tabs>
        <w:spacing w:before="240"/>
        <w:rPr>
          <w:rFonts w:asciiTheme="minorHAnsi" w:hAnsiTheme="minorHAnsi" w:cstheme="minorHAnsi"/>
        </w:rPr>
      </w:pPr>
      <w:r>
        <w:rPr>
          <w:rFonts w:asciiTheme="minorHAnsi" w:hAnsiTheme="minorHAnsi" w:cstheme="minorHAnsi"/>
          <w:b/>
        </w:rPr>
        <w:t>[AGENCY]</w:t>
      </w:r>
      <w:r w:rsidR="006C17A8" w:rsidRPr="00F970BD">
        <w:rPr>
          <w:rFonts w:asciiTheme="minorHAnsi" w:hAnsiTheme="minorHAnsi" w:cstheme="minorHAnsi"/>
          <w:b/>
        </w:rPr>
        <w:t xml:space="preserve"> </w:t>
      </w:r>
      <w:r w:rsidR="00FF0669" w:rsidRPr="00F970BD">
        <w:rPr>
          <w:rFonts w:asciiTheme="minorHAnsi" w:hAnsiTheme="minorHAnsi" w:cstheme="minorHAnsi"/>
          <w:b/>
        </w:rPr>
        <w:t>s</w:t>
      </w:r>
      <w:r w:rsidR="006C17A8" w:rsidRPr="00F970BD">
        <w:rPr>
          <w:rFonts w:asciiTheme="minorHAnsi" w:hAnsiTheme="minorHAnsi" w:cstheme="minorHAnsi"/>
          <w:b/>
        </w:rPr>
        <w:t xml:space="preserve">pecific </w:t>
      </w:r>
      <w:r w:rsidR="007D6EAD">
        <w:rPr>
          <w:rFonts w:asciiTheme="minorHAnsi" w:hAnsiTheme="minorHAnsi" w:cstheme="minorHAnsi"/>
          <w:b/>
        </w:rPr>
        <w:t>items</w:t>
      </w:r>
      <w:r w:rsidR="006C17A8" w:rsidRPr="00F970BD">
        <w:rPr>
          <w:rFonts w:asciiTheme="minorHAnsi" w:hAnsiTheme="minorHAnsi" w:cstheme="minorHAnsi"/>
          <w:b/>
        </w:rPr>
        <w:t>:</w:t>
      </w:r>
      <w:r w:rsidR="006C17A8" w:rsidRPr="00F970BD">
        <w:rPr>
          <w:rFonts w:asciiTheme="minorHAnsi" w:hAnsiTheme="minorHAnsi" w:cstheme="minorHAnsi"/>
        </w:rPr>
        <w:t xml:space="preserve"> ORS </w:t>
      </w:r>
      <w:r w:rsidR="00C9495E" w:rsidRPr="00F970BD">
        <w:rPr>
          <w:rFonts w:asciiTheme="minorHAnsi" w:hAnsiTheme="minorHAnsi" w:cstheme="minorHAnsi"/>
        </w:rPr>
        <w:t xml:space="preserve">Chapter </w:t>
      </w:r>
      <w:r w:rsidR="006C17A8" w:rsidRPr="00F970BD">
        <w:rPr>
          <w:rFonts w:asciiTheme="minorHAnsi" w:hAnsiTheme="minorHAnsi" w:cstheme="minorHAnsi"/>
        </w:rPr>
        <w:t xml:space="preserve">461 provides </w:t>
      </w:r>
      <w:r>
        <w:rPr>
          <w:rFonts w:asciiTheme="minorHAnsi" w:hAnsiTheme="minorHAnsi" w:cstheme="minorHAnsi"/>
        </w:rPr>
        <w:t>[AGENCY]</w:t>
      </w:r>
      <w:r w:rsidR="007D6EAD">
        <w:rPr>
          <w:rFonts w:asciiTheme="minorHAnsi" w:hAnsiTheme="minorHAnsi" w:cstheme="minorHAnsi"/>
        </w:rPr>
        <w:t>-</w:t>
      </w:r>
      <w:r w:rsidR="006C17A8" w:rsidRPr="00F970BD">
        <w:rPr>
          <w:rFonts w:asciiTheme="minorHAnsi" w:hAnsiTheme="minorHAnsi" w:cstheme="minorHAnsi"/>
        </w:rPr>
        <w:t xml:space="preserve">specific information regarding </w:t>
      </w:r>
      <w:r>
        <w:rPr>
          <w:rFonts w:asciiTheme="minorHAnsi" w:hAnsiTheme="minorHAnsi" w:cstheme="minorHAnsi"/>
        </w:rPr>
        <w:t>[AGENCY]</w:t>
      </w:r>
      <w:r w:rsidR="006C17A8" w:rsidRPr="00F970BD">
        <w:rPr>
          <w:rFonts w:asciiTheme="minorHAnsi" w:hAnsiTheme="minorHAnsi" w:cstheme="minorHAnsi"/>
        </w:rPr>
        <w:t xml:space="preserve"> records as follows:</w:t>
      </w:r>
    </w:p>
    <w:p w14:paraId="57284C73" w14:textId="77777777" w:rsidR="006C17A8" w:rsidRPr="00F970BD" w:rsidRDefault="006C17A8" w:rsidP="00FD7DC3">
      <w:pPr>
        <w:spacing w:before="240"/>
        <w:ind w:left="540"/>
        <w:rPr>
          <w:rFonts w:asciiTheme="minorHAnsi" w:hAnsiTheme="minorHAnsi" w:cstheme="minorHAnsi"/>
        </w:rPr>
      </w:pPr>
      <w:r w:rsidRPr="007D6EAD">
        <w:rPr>
          <w:rFonts w:asciiTheme="minorHAnsi" w:hAnsiTheme="minorHAnsi" w:cstheme="minorHAnsi"/>
        </w:rPr>
        <w:t>1.</w:t>
      </w:r>
      <w:r w:rsidR="00FD7DC3" w:rsidRPr="007D6EAD">
        <w:rPr>
          <w:rFonts w:asciiTheme="minorHAnsi" w:hAnsiTheme="minorHAnsi" w:cstheme="minorHAnsi"/>
        </w:rPr>
        <w:t xml:space="preserve"> </w:t>
      </w:r>
      <w:r w:rsidRPr="00F970BD">
        <w:rPr>
          <w:rFonts w:asciiTheme="minorHAnsi" w:hAnsiTheme="minorHAnsi" w:cstheme="minorHAnsi"/>
          <w:b/>
        </w:rPr>
        <w:t xml:space="preserve">Commission </w:t>
      </w:r>
      <w:r w:rsidR="00FF0669" w:rsidRPr="00F970BD">
        <w:rPr>
          <w:rFonts w:asciiTheme="minorHAnsi" w:hAnsiTheme="minorHAnsi" w:cstheme="minorHAnsi"/>
          <w:b/>
        </w:rPr>
        <w:t>r</w:t>
      </w:r>
      <w:r w:rsidRPr="00F970BD">
        <w:rPr>
          <w:rFonts w:asciiTheme="minorHAnsi" w:hAnsiTheme="minorHAnsi" w:cstheme="minorHAnsi"/>
          <w:b/>
        </w:rPr>
        <w:t>ecords:</w:t>
      </w:r>
      <w:r w:rsidRPr="00F970BD">
        <w:rPr>
          <w:rFonts w:asciiTheme="minorHAnsi" w:hAnsiTheme="minorHAnsi" w:cstheme="minorHAnsi"/>
        </w:rPr>
        <w:t xml:space="preserve"> ORS 461.100(8) provides that “Records of the commission shall be open and available to the public in accordance with state law.”</w:t>
      </w:r>
    </w:p>
    <w:p w14:paraId="57284C74" w14:textId="77777777" w:rsidR="006C17A8" w:rsidRPr="00F970BD" w:rsidRDefault="006C17A8" w:rsidP="00FD7DC3">
      <w:pPr>
        <w:spacing w:before="240"/>
        <w:ind w:left="540"/>
        <w:rPr>
          <w:rFonts w:asciiTheme="minorHAnsi" w:hAnsiTheme="minorHAnsi" w:cstheme="minorHAnsi"/>
        </w:rPr>
      </w:pPr>
      <w:r w:rsidRPr="007D6EAD">
        <w:rPr>
          <w:rFonts w:asciiTheme="minorHAnsi" w:hAnsiTheme="minorHAnsi" w:cstheme="minorHAnsi"/>
        </w:rPr>
        <w:t>2.</w:t>
      </w:r>
      <w:r w:rsidR="00FD7DC3" w:rsidRPr="007D6EAD">
        <w:rPr>
          <w:rFonts w:asciiTheme="minorHAnsi" w:hAnsiTheme="minorHAnsi" w:cstheme="minorHAnsi"/>
        </w:rPr>
        <w:t xml:space="preserve"> </w:t>
      </w:r>
      <w:r w:rsidR="00B2185F">
        <w:rPr>
          <w:rFonts w:asciiTheme="minorHAnsi" w:hAnsiTheme="minorHAnsi" w:cstheme="minorHAnsi"/>
          <w:b/>
        </w:rPr>
        <w:t>[AGENCY]</w:t>
      </w:r>
      <w:r w:rsidRPr="00F970BD">
        <w:rPr>
          <w:rFonts w:asciiTheme="minorHAnsi" w:hAnsiTheme="minorHAnsi" w:cstheme="minorHAnsi"/>
          <w:b/>
        </w:rPr>
        <w:t xml:space="preserve"> </w:t>
      </w:r>
      <w:r w:rsidR="00FF0669" w:rsidRPr="00F970BD">
        <w:rPr>
          <w:rFonts w:asciiTheme="minorHAnsi" w:hAnsiTheme="minorHAnsi" w:cstheme="minorHAnsi"/>
          <w:b/>
        </w:rPr>
        <w:t>b</w:t>
      </w:r>
      <w:r w:rsidRPr="00F970BD">
        <w:rPr>
          <w:rFonts w:asciiTheme="minorHAnsi" w:hAnsiTheme="minorHAnsi" w:cstheme="minorHAnsi"/>
          <w:b/>
        </w:rPr>
        <w:t>udget:</w:t>
      </w:r>
      <w:r w:rsidRPr="00F970BD">
        <w:rPr>
          <w:rFonts w:asciiTheme="minorHAnsi" w:hAnsiTheme="minorHAnsi" w:cstheme="minorHAnsi"/>
        </w:rPr>
        <w:t xml:space="preserve"> ORS 461.140 provides that “Before December 1, the Legislative Fiscal Officer or staff and the Legislative Revenue Officer or staff shall not reveal to any other person the contents or nature of the </w:t>
      </w:r>
      <w:r w:rsidR="005A08D0" w:rsidRPr="00F970BD">
        <w:rPr>
          <w:rFonts w:asciiTheme="minorHAnsi" w:hAnsiTheme="minorHAnsi" w:cstheme="minorHAnsi"/>
        </w:rPr>
        <w:t>[</w:t>
      </w:r>
      <w:r w:rsidR="00B2185F">
        <w:rPr>
          <w:rFonts w:asciiTheme="minorHAnsi" w:hAnsiTheme="minorHAnsi" w:cstheme="minorHAnsi"/>
        </w:rPr>
        <w:t>[AGENCY]</w:t>
      </w:r>
      <w:r w:rsidR="005A08D0" w:rsidRPr="00F970BD">
        <w:rPr>
          <w:rFonts w:asciiTheme="minorHAnsi" w:hAnsiTheme="minorHAnsi" w:cstheme="minorHAnsi"/>
        </w:rPr>
        <w:t>’s] bu</w:t>
      </w:r>
      <w:r w:rsidRPr="00F970BD">
        <w:rPr>
          <w:rFonts w:asciiTheme="minorHAnsi" w:hAnsiTheme="minorHAnsi" w:cstheme="minorHAnsi"/>
        </w:rPr>
        <w:t>dget and other materials, except with the written consent of the commission.”</w:t>
      </w:r>
    </w:p>
    <w:p w14:paraId="57284C75" w14:textId="77777777" w:rsidR="006C17A8" w:rsidRPr="00F970BD" w:rsidRDefault="006C17A8" w:rsidP="00FD7DC3">
      <w:pPr>
        <w:spacing w:before="240"/>
        <w:ind w:left="540"/>
        <w:rPr>
          <w:rFonts w:asciiTheme="minorHAnsi" w:hAnsiTheme="minorHAnsi" w:cstheme="minorHAnsi"/>
        </w:rPr>
      </w:pPr>
      <w:r w:rsidRPr="007D6EAD">
        <w:rPr>
          <w:rFonts w:asciiTheme="minorHAnsi" w:hAnsiTheme="minorHAnsi" w:cstheme="minorHAnsi"/>
        </w:rPr>
        <w:t>3.</w:t>
      </w:r>
      <w:r w:rsidR="00FD7DC3" w:rsidRPr="007D6EAD">
        <w:rPr>
          <w:rFonts w:asciiTheme="minorHAnsi" w:hAnsiTheme="minorHAnsi" w:cstheme="minorHAnsi"/>
        </w:rPr>
        <w:t xml:space="preserve"> </w:t>
      </w:r>
      <w:r w:rsidRPr="00F970BD">
        <w:rPr>
          <w:rFonts w:asciiTheme="minorHAnsi" w:hAnsiTheme="minorHAnsi" w:cstheme="minorHAnsi"/>
          <w:b/>
        </w:rPr>
        <w:t xml:space="preserve">Security </w:t>
      </w:r>
      <w:r w:rsidR="00FF0669" w:rsidRPr="00F970BD">
        <w:rPr>
          <w:rFonts w:asciiTheme="minorHAnsi" w:hAnsiTheme="minorHAnsi" w:cstheme="minorHAnsi"/>
          <w:b/>
        </w:rPr>
        <w:t>r</w:t>
      </w:r>
      <w:r w:rsidRPr="00F970BD">
        <w:rPr>
          <w:rFonts w:asciiTheme="minorHAnsi" w:hAnsiTheme="minorHAnsi" w:cstheme="minorHAnsi"/>
          <w:b/>
        </w:rPr>
        <w:t>eport:</w:t>
      </w:r>
      <w:r w:rsidRPr="00F970BD">
        <w:rPr>
          <w:rFonts w:asciiTheme="minorHAnsi" w:hAnsiTheme="minorHAnsi" w:cstheme="minorHAnsi"/>
        </w:rPr>
        <w:t xml:space="preserve"> </w:t>
      </w:r>
      <w:r w:rsidR="008B68B0" w:rsidRPr="00F970BD">
        <w:rPr>
          <w:rFonts w:asciiTheme="minorHAnsi" w:hAnsiTheme="minorHAnsi" w:cstheme="minorHAnsi"/>
        </w:rPr>
        <w:t xml:space="preserve">As discussed on page </w:t>
      </w:r>
      <w:r w:rsidR="004710EE">
        <w:rPr>
          <w:rFonts w:asciiTheme="minorHAnsi" w:hAnsiTheme="minorHAnsi" w:cstheme="minorHAnsi"/>
        </w:rPr>
        <w:t>10</w:t>
      </w:r>
      <w:r w:rsidR="008B68B0" w:rsidRPr="00F970BD">
        <w:rPr>
          <w:rFonts w:asciiTheme="minorHAnsi" w:hAnsiTheme="minorHAnsi" w:cstheme="minorHAnsi"/>
        </w:rPr>
        <w:t xml:space="preserve">, </w:t>
      </w:r>
      <w:r w:rsidRPr="00F970BD">
        <w:rPr>
          <w:rFonts w:asciiTheme="minorHAnsi" w:hAnsiTheme="minorHAnsi" w:cstheme="minorHAnsi"/>
        </w:rPr>
        <w:t xml:space="preserve">ORS 461.180(6) provides for a comprehensive study and evaluation of all aspects of security in the operation of the state </w:t>
      </w:r>
      <w:r w:rsidR="00B2185F">
        <w:rPr>
          <w:rFonts w:asciiTheme="minorHAnsi" w:hAnsiTheme="minorHAnsi" w:cstheme="minorHAnsi"/>
        </w:rPr>
        <w:t>[AGENCY]</w:t>
      </w:r>
      <w:r w:rsidRPr="00F970BD">
        <w:rPr>
          <w:rFonts w:asciiTheme="minorHAnsi" w:hAnsiTheme="minorHAnsi" w:cstheme="minorHAnsi"/>
        </w:rPr>
        <w:t xml:space="preserve">, and </w:t>
      </w:r>
      <w:r w:rsidR="008B68B0" w:rsidRPr="00F970BD">
        <w:rPr>
          <w:rFonts w:asciiTheme="minorHAnsi" w:hAnsiTheme="minorHAnsi" w:cstheme="minorHAnsi"/>
        </w:rPr>
        <w:t xml:space="preserve">those portions of the report containing specific recommendations are confidential and may only be presented to the </w:t>
      </w:r>
      <w:r w:rsidR="00B2185F">
        <w:rPr>
          <w:rFonts w:asciiTheme="minorHAnsi" w:hAnsiTheme="minorHAnsi" w:cstheme="minorHAnsi"/>
        </w:rPr>
        <w:t>[AGENCY]</w:t>
      </w:r>
      <w:r w:rsidR="007D6EAD">
        <w:rPr>
          <w:rFonts w:asciiTheme="minorHAnsi" w:hAnsiTheme="minorHAnsi" w:cstheme="minorHAnsi"/>
        </w:rPr>
        <w:t xml:space="preserve"> c</w:t>
      </w:r>
      <w:r w:rsidR="008B68B0" w:rsidRPr="00F970BD">
        <w:rPr>
          <w:rFonts w:asciiTheme="minorHAnsi" w:hAnsiTheme="minorHAnsi" w:cstheme="minorHAnsi"/>
        </w:rPr>
        <w:t xml:space="preserve">ommission, the </w:t>
      </w:r>
      <w:r w:rsidR="007D6EAD">
        <w:rPr>
          <w:rFonts w:asciiTheme="minorHAnsi" w:hAnsiTheme="minorHAnsi" w:cstheme="minorHAnsi"/>
        </w:rPr>
        <w:t>g</w:t>
      </w:r>
      <w:r w:rsidR="008B68B0" w:rsidRPr="00F970BD">
        <w:rPr>
          <w:rFonts w:asciiTheme="minorHAnsi" w:hAnsiTheme="minorHAnsi" w:cstheme="minorHAnsi"/>
        </w:rPr>
        <w:t xml:space="preserve">overnor, and the </w:t>
      </w:r>
      <w:r w:rsidR="00FF0669" w:rsidRPr="00F970BD">
        <w:rPr>
          <w:rFonts w:asciiTheme="minorHAnsi" w:hAnsiTheme="minorHAnsi" w:cstheme="minorHAnsi"/>
        </w:rPr>
        <w:t>d</w:t>
      </w:r>
      <w:r w:rsidR="008B68B0" w:rsidRPr="00F970BD">
        <w:rPr>
          <w:rFonts w:asciiTheme="minorHAnsi" w:hAnsiTheme="minorHAnsi" w:cstheme="minorHAnsi"/>
        </w:rPr>
        <w:t>irector.</w:t>
      </w:r>
    </w:p>
    <w:p w14:paraId="57284C76" w14:textId="77777777" w:rsidR="00A526A3" w:rsidRPr="00F970BD" w:rsidRDefault="00A526A3" w:rsidP="0005640B">
      <w:pPr>
        <w:pStyle w:val="BodyText"/>
        <w:jc w:val="left"/>
        <w:rPr>
          <w:rFonts w:asciiTheme="minorHAnsi" w:hAnsiTheme="minorHAnsi" w:cstheme="minorHAnsi"/>
          <w:b/>
          <w:u w:val="single"/>
        </w:rPr>
      </w:pP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r w:rsidRPr="00F970BD">
        <w:rPr>
          <w:rFonts w:asciiTheme="minorHAnsi" w:hAnsiTheme="minorHAnsi" w:cstheme="minorHAnsi"/>
          <w:b/>
          <w:u w:val="single"/>
        </w:rPr>
        <w:tab/>
      </w:r>
    </w:p>
    <w:p w14:paraId="57284C77" w14:textId="77777777" w:rsidR="001F7E60" w:rsidRPr="00F970BD" w:rsidRDefault="001F7E60" w:rsidP="0005640B">
      <w:pPr>
        <w:tabs>
          <w:tab w:val="left" w:pos="360"/>
        </w:tabs>
        <w:spacing w:before="240"/>
        <w:rPr>
          <w:rFonts w:asciiTheme="minorHAnsi" w:hAnsiTheme="minorHAnsi" w:cstheme="minorHAnsi"/>
        </w:rPr>
      </w:pPr>
      <w:r w:rsidRPr="00F970BD">
        <w:rPr>
          <w:rFonts w:asciiTheme="minorHAnsi" w:hAnsiTheme="minorHAnsi" w:cstheme="minorHAnsi"/>
          <w:b/>
        </w:rPr>
        <w:t xml:space="preserve">Other </w:t>
      </w:r>
      <w:r w:rsidR="00FF0669" w:rsidRPr="00F970BD">
        <w:rPr>
          <w:rFonts w:asciiTheme="minorHAnsi" w:hAnsiTheme="minorHAnsi" w:cstheme="minorHAnsi"/>
          <w:b/>
        </w:rPr>
        <w:t>e</w:t>
      </w:r>
      <w:r w:rsidRPr="00F970BD">
        <w:rPr>
          <w:rFonts w:asciiTheme="minorHAnsi" w:hAnsiTheme="minorHAnsi" w:cstheme="minorHAnsi"/>
          <w:b/>
        </w:rPr>
        <w:t>xemptions:</w:t>
      </w:r>
      <w:r w:rsidRPr="00F970BD">
        <w:rPr>
          <w:rFonts w:asciiTheme="minorHAnsi" w:hAnsiTheme="minorHAnsi" w:cstheme="minorHAnsi"/>
        </w:rPr>
        <w:t xml:space="preserve"> The following materials</w:t>
      </w:r>
      <w:r w:rsidR="008B68B0" w:rsidRPr="00F970BD">
        <w:rPr>
          <w:rFonts w:asciiTheme="minorHAnsi" w:hAnsiTheme="minorHAnsi" w:cstheme="minorHAnsi"/>
        </w:rPr>
        <w:t>,</w:t>
      </w:r>
      <w:r w:rsidRPr="00F970BD">
        <w:rPr>
          <w:rFonts w:asciiTheme="minorHAnsi" w:hAnsiTheme="minorHAnsi" w:cstheme="minorHAnsi"/>
        </w:rPr>
        <w:t xml:space="preserve"> </w:t>
      </w:r>
      <w:r w:rsidR="00945788" w:rsidRPr="00F970BD">
        <w:rPr>
          <w:rFonts w:asciiTheme="minorHAnsi" w:hAnsiTheme="minorHAnsi" w:cstheme="minorHAnsi"/>
        </w:rPr>
        <w:t xml:space="preserve">provided in, or in conjunction with, the Application Form for Retailer Contract and Personal Disclosure Form, </w:t>
      </w:r>
      <w:r w:rsidR="008B68B0" w:rsidRPr="00F970BD">
        <w:rPr>
          <w:rFonts w:asciiTheme="minorHAnsi" w:hAnsiTheme="minorHAnsi" w:cstheme="minorHAnsi"/>
        </w:rPr>
        <w:t xml:space="preserve">a Vendor Disclosure Form or Bid Proposal, and certain prizewinner information, </w:t>
      </w:r>
      <w:r w:rsidR="00456D2C" w:rsidRPr="00F970BD">
        <w:rPr>
          <w:rFonts w:asciiTheme="minorHAnsi" w:hAnsiTheme="minorHAnsi" w:cstheme="minorHAnsi"/>
        </w:rPr>
        <w:t>are</w:t>
      </w:r>
      <w:r w:rsidR="00945788" w:rsidRPr="00F970BD">
        <w:rPr>
          <w:rFonts w:asciiTheme="minorHAnsi" w:hAnsiTheme="minorHAnsi" w:cstheme="minorHAnsi"/>
        </w:rPr>
        <w:t xml:space="preserve"> prohibited or exempt from disclosure.</w:t>
      </w:r>
      <w:r w:rsidR="00572585" w:rsidRPr="00F970BD">
        <w:rPr>
          <w:rFonts w:asciiTheme="minorHAnsi" w:hAnsiTheme="minorHAnsi" w:cstheme="minorHAnsi"/>
        </w:rPr>
        <w:t xml:space="preserve"> </w:t>
      </w:r>
      <w:r w:rsidR="00945788" w:rsidRPr="00F970BD">
        <w:rPr>
          <w:rFonts w:asciiTheme="minorHAnsi" w:hAnsiTheme="minorHAnsi" w:cstheme="minorHAnsi"/>
        </w:rPr>
        <w:t>The following information and documents will not be disclosed or provided in response to a public records request und</w:t>
      </w:r>
      <w:r w:rsidRPr="00F970BD">
        <w:rPr>
          <w:rFonts w:asciiTheme="minorHAnsi" w:hAnsiTheme="minorHAnsi" w:cstheme="minorHAnsi"/>
        </w:rPr>
        <w:t xml:space="preserve">er the laws </w:t>
      </w:r>
      <w:r w:rsidR="00945788" w:rsidRPr="00F970BD">
        <w:rPr>
          <w:rFonts w:asciiTheme="minorHAnsi" w:hAnsiTheme="minorHAnsi" w:cstheme="minorHAnsi"/>
        </w:rPr>
        <w:t xml:space="preserve">and conditions </w:t>
      </w:r>
      <w:r w:rsidRPr="00F970BD">
        <w:rPr>
          <w:rFonts w:asciiTheme="minorHAnsi" w:hAnsiTheme="minorHAnsi" w:cstheme="minorHAnsi"/>
        </w:rPr>
        <w:t>noted:</w:t>
      </w:r>
    </w:p>
    <w:p w14:paraId="57284C78" w14:textId="77777777" w:rsidR="00945788" w:rsidRPr="00F970BD" w:rsidRDefault="00945788" w:rsidP="00FD7DC3">
      <w:pPr>
        <w:spacing w:before="240"/>
        <w:ind w:left="540"/>
        <w:rPr>
          <w:rFonts w:asciiTheme="minorHAnsi" w:hAnsiTheme="minorHAnsi" w:cstheme="minorHAnsi"/>
        </w:rPr>
      </w:pPr>
      <w:r w:rsidRPr="007D6EAD">
        <w:rPr>
          <w:rFonts w:asciiTheme="minorHAnsi" w:hAnsiTheme="minorHAnsi" w:cstheme="minorHAnsi"/>
        </w:rPr>
        <w:t>1.</w:t>
      </w:r>
      <w:r w:rsidR="00FD7DC3" w:rsidRPr="007D6EAD">
        <w:rPr>
          <w:rFonts w:asciiTheme="minorHAnsi" w:hAnsiTheme="minorHAnsi" w:cstheme="minorHAnsi"/>
        </w:rPr>
        <w:t xml:space="preserve"> </w:t>
      </w:r>
      <w:r w:rsidRPr="00F970BD">
        <w:rPr>
          <w:rFonts w:asciiTheme="minorHAnsi" w:hAnsiTheme="minorHAnsi" w:cstheme="minorHAnsi"/>
          <w:b/>
        </w:rPr>
        <w:t xml:space="preserve">Social </w:t>
      </w:r>
      <w:r w:rsidR="00FF0669" w:rsidRPr="00F970BD">
        <w:rPr>
          <w:rFonts w:asciiTheme="minorHAnsi" w:hAnsiTheme="minorHAnsi" w:cstheme="minorHAnsi"/>
          <w:b/>
        </w:rPr>
        <w:t>s</w:t>
      </w:r>
      <w:r w:rsidRPr="00F970BD">
        <w:rPr>
          <w:rFonts w:asciiTheme="minorHAnsi" w:hAnsiTheme="minorHAnsi" w:cstheme="minorHAnsi"/>
          <w:b/>
        </w:rPr>
        <w:t xml:space="preserve">ecurity </w:t>
      </w:r>
      <w:r w:rsidR="00FF0669" w:rsidRPr="00F970BD">
        <w:rPr>
          <w:rFonts w:asciiTheme="minorHAnsi" w:hAnsiTheme="minorHAnsi" w:cstheme="minorHAnsi"/>
          <w:b/>
        </w:rPr>
        <w:t>n</w:t>
      </w:r>
      <w:r w:rsidRPr="00F970BD">
        <w:rPr>
          <w:rFonts w:asciiTheme="minorHAnsi" w:hAnsiTheme="minorHAnsi" w:cstheme="minorHAnsi"/>
          <w:b/>
        </w:rPr>
        <w:t>umber</w:t>
      </w:r>
      <w:r w:rsidR="00456D2C" w:rsidRPr="00F970BD">
        <w:rPr>
          <w:rFonts w:asciiTheme="minorHAnsi" w:hAnsiTheme="minorHAnsi" w:cstheme="minorHAnsi"/>
          <w:b/>
        </w:rPr>
        <w:t>s</w:t>
      </w:r>
      <w:r w:rsidRPr="00F970BD">
        <w:rPr>
          <w:rFonts w:asciiTheme="minorHAnsi" w:hAnsiTheme="minorHAnsi" w:cstheme="minorHAnsi"/>
          <w:b/>
        </w:rPr>
        <w:t>:</w:t>
      </w:r>
      <w:r w:rsidRPr="00F970BD">
        <w:rPr>
          <w:rFonts w:asciiTheme="minorHAnsi" w:hAnsiTheme="minorHAnsi" w:cstheme="minorHAnsi"/>
        </w:rPr>
        <w:t xml:space="preserve"> ORS 192.502(2)</w:t>
      </w:r>
      <w:r w:rsidR="008B68B0" w:rsidRPr="00F970BD">
        <w:rPr>
          <w:rFonts w:asciiTheme="minorHAnsi" w:hAnsiTheme="minorHAnsi" w:cstheme="minorHAnsi"/>
        </w:rPr>
        <w:t>,</w:t>
      </w:r>
      <w:r w:rsidRPr="00F970BD">
        <w:rPr>
          <w:rFonts w:asciiTheme="minorHAnsi" w:hAnsiTheme="minorHAnsi" w:cstheme="minorHAnsi"/>
        </w:rPr>
        <w:t xml:space="preserve"> the federal Freedom of Information Act exemption</w:t>
      </w:r>
      <w:r w:rsidR="008B68B0" w:rsidRPr="00F970BD">
        <w:rPr>
          <w:rFonts w:asciiTheme="minorHAnsi" w:hAnsiTheme="minorHAnsi" w:cstheme="minorHAnsi"/>
        </w:rPr>
        <w:t>, 5 USC § 552(b)</w:t>
      </w:r>
      <w:r w:rsidR="005C45EC" w:rsidRPr="00F970BD">
        <w:rPr>
          <w:rFonts w:asciiTheme="minorHAnsi" w:hAnsiTheme="minorHAnsi" w:cstheme="minorHAnsi"/>
        </w:rPr>
        <w:t>,</w:t>
      </w:r>
      <w:r w:rsidR="008B68B0" w:rsidRPr="00F970BD">
        <w:rPr>
          <w:rFonts w:asciiTheme="minorHAnsi" w:hAnsiTheme="minorHAnsi" w:cstheme="minorHAnsi"/>
        </w:rPr>
        <w:t xml:space="preserve"> Section 7 of the federal Privacy Act and 42 USC § 405(c)</w:t>
      </w:r>
      <w:r w:rsidRPr="00F970BD">
        <w:rPr>
          <w:rFonts w:asciiTheme="minorHAnsi" w:hAnsiTheme="minorHAnsi" w:cstheme="minorHAnsi"/>
        </w:rPr>
        <w:t>.</w:t>
      </w:r>
      <w:r w:rsidR="00572585" w:rsidRPr="00F970BD">
        <w:rPr>
          <w:rFonts w:asciiTheme="minorHAnsi" w:hAnsiTheme="minorHAnsi" w:cstheme="minorHAnsi"/>
        </w:rPr>
        <w:t xml:space="preserve"> </w:t>
      </w:r>
      <w:r w:rsidR="008B68B0" w:rsidRPr="00F970BD">
        <w:rPr>
          <w:rFonts w:asciiTheme="minorHAnsi" w:hAnsiTheme="minorHAnsi" w:cstheme="minorHAnsi"/>
        </w:rPr>
        <w:t>A</w:t>
      </w:r>
      <w:r w:rsidR="00197B72" w:rsidRPr="00F970BD">
        <w:rPr>
          <w:rFonts w:asciiTheme="minorHAnsi" w:hAnsiTheme="minorHAnsi" w:cstheme="minorHAnsi"/>
        </w:rPr>
        <w:t xml:space="preserve"> social security number </w:t>
      </w:r>
      <w:r w:rsidR="008B68B0" w:rsidRPr="00F970BD">
        <w:rPr>
          <w:rFonts w:asciiTheme="minorHAnsi" w:hAnsiTheme="minorHAnsi" w:cstheme="minorHAnsi"/>
        </w:rPr>
        <w:t>cannot be disclosed unless specifically required by law, i.e., provided to the I</w:t>
      </w:r>
      <w:r w:rsidR="00197B72" w:rsidRPr="00F970BD">
        <w:rPr>
          <w:rFonts w:asciiTheme="minorHAnsi" w:hAnsiTheme="minorHAnsi" w:cstheme="minorHAnsi"/>
        </w:rPr>
        <w:t xml:space="preserve">nternal </w:t>
      </w:r>
      <w:r w:rsidR="008B68B0" w:rsidRPr="00F970BD">
        <w:rPr>
          <w:rFonts w:asciiTheme="minorHAnsi" w:hAnsiTheme="minorHAnsi" w:cstheme="minorHAnsi"/>
        </w:rPr>
        <w:t>R</w:t>
      </w:r>
      <w:r w:rsidR="00197B72" w:rsidRPr="00F970BD">
        <w:rPr>
          <w:rFonts w:asciiTheme="minorHAnsi" w:hAnsiTheme="minorHAnsi" w:cstheme="minorHAnsi"/>
        </w:rPr>
        <w:t xml:space="preserve">evenue </w:t>
      </w:r>
      <w:r w:rsidR="008B68B0" w:rsidRPr="00F970BD">
        <w:rPr>
          <w:rFonts w:asciiTheme="minorHAnsi" w:hAnsiTheme="minorHAnsi" w:cstheme="minorHAnsi"/>
        </w:rPr>
        <w:t>S</w:t>
      </w:r>
      <w:r w:rsidR="00197B72" w:rsidRPr="00F970BD">
        <w:rPr>
          <w:rFonts w:asciiTheme="minorHAnsi" w:hAnsiTheme="minorHAnsi" w:cstheme="minorHAnsi"/>
        </w:rPr>
        <w:t>ervice</w:t>
      </w:r>
      <w:r w:rsidR="008B68B0" w:rsidRPr="00F970BD">
        <w:rPr>
          <w:rFonts w:asciiTheme="minorHAnsi" w:hAnsiTheme="minorHAnsi" w:cstheme="minorHAnsi"/>
        </w:rPr>
        <w:t xml:space="preserve"> or </w:t>
      </w:r>
      <w:r w:rsidR="00197B72" w:rsidRPr="00F970BD">
        <w:rPr>
          <w:rFonts w:asciiTheme="minorHAnsi" w:hAnsiTheme="minorHAnsi" w:cstheme="minorHAnsi"/>
        </w:rPr>
        <w:t xml:space="preserve">the Oregon </w:t>
      </w:r>
      <w:r w:rsidR="008B68B0" w:rsidRPr="00F970BD">
        <w:rPr>
          <w:rFonts w:asciiTheme="minorHAnsi" w:hAnsiTheme="minorHAnsi" w:cstheme="minorHAnsi"/>
        </w:rPr>
        <w:t>D</w:t>
      </w:r>
      <w:r w:rsidR="00197B72" w:rsidRPr="00F970BD">
        <w:rPr>
          <w:rFonts w:asciiTheme="minorHAnsi" w:hAnsiTheme="minorHAnsi" w:cstheme="minorHAnsi"/>
        </w:rPr>
        <w:t>epartment of Revenue</w:t>
      </w:r>
      <w:r w:rsidR="008B68B0" w:rsidRPr="00F970BD">
        <w:rPr>
          <w:rFonts w:asciiTheme="minorHAnsi" w:hAnsiTheme="minorHAnsi" w:cstheme="minorHAnsi"/>
        </w:rPr>
        <w:t xml:space="preserve"> for tax purposes</w:t>
      </w:r>
      <w:r w:rsidR="008A0788">
        <w:rPr>
          <w:rFonts w:asciiTheme="minorHAnsi" w:hAnsiTheme="minorHAnsi" w:cstheme="minorHAnsi"/>
        </w:rPr>
        <w:t>;</w:t>
      </w:r>
      <w:r w:rsidR="008B68B0" w:rsidRPr="00F970BD">
        <w:rPr>
          <w:rFonts w:asciiTheme="minorHAnsi" w:hAnsiTheme="minorHAnsi" w:cstheme="minorHAnsi"/>
        </w:rPr>
        <w:t xml:space="preserve"> or to </w:t>
      </w:r>
      <w:r w:rsidR="00197B72" w:rsidRPr="00F970BD">
        <w:rPr>
          <w:rFonts w:asciiTheme="minorHAnsi" w:hAnsiTheme="minorHAnsi" w:cstheme="minorHAnsi"/>
        </w:rPr>
        <w:t xml:space="preserve">the Oregon Department of Justice </w:t>
      </w:r>
      <w:r w:rsidR="008B68B0" w:rsidRPr="00F970BD">
        <w:rPr>
          <w:rFonts w:asciiTheme="minorHAnsi" w:hAnsiTheme="minorHAnsi" w:cstheme="minorHAnsi"/>
        </w:rPr>
        <w:t xml:space="preserve">for child support enforcement; </w:t>
      </w:r>
      <w:r w:rsidR="008A0788">
        <w:rPr>
          <w:rFonts w:asciiTheme="minorHAnsi" w:hAnsiTheme="minorHAnsi" w:cstheme="minorHAnsi"/>
        </w:rPr>
        <w:t xml:space="preserve">or </w:t>
      </w:r>
      <w:r w:rsidR="008A0788" w:rsidRPr="008A0788">
        <w:rPr>
          <w:rFonts w:ascii="Calibri" w:hAnsi="Calibri" w:cs="Calibri"/>
        </w:rPr>
        <w:t xml:space="preserve">for the purpose of establishing the identification of individuals affected by any “general public assistance” laws within </w:t>
      </w:r>
      <w:r w:rsidR="00CC020D">
        <w:rPr>
          <w:rFonts w:ascii="Calibri" w:hAnsi="Calibri" w:cs="Calibri"/>
        </w:rPr>
        <w:t xml:space="preserve">Oregon; </w:t>
      </w:r>
      <w:r w:rsidR="008B68B0" w:rsidRPr="00F970BD">
        <w:rPr>
          <w:rFonts w:asciiTheme="minorHAnsi" w:hAnsiTheme="minorHAnsi" w:cstheme="minorHAnsi"/>
        </w:rPr>
        <w:t xml:space="preserve">or unless the individual has been given notice </w:t>
      </w:r>
      <w:r w:rsidR="005C45EC" w:rsidRPr="00F970BD">
        <w:rPr>
          <w:rFonts w:asciiTheme="minorHAnsi" w:hAnsiTheme="minorHAnsi" w:cstheme="minorHAnsi"/>
        </w:rPr>
        <w:t xml:space="preserve">of its use and has voluntarily provided </w:t>
      </w:r>
      <w:r w:rsidR="00384ABA" w:rsidRPr="00F970BD">
        <w:rPr>
          <w:rFonts w:asciiTheme="minorHAnsi" w:hAnsiTheme="minorHAnsi" w:cstheme="minorHAnsi"/>
        </w:rPr>
        <w:t xml:space="preserve">the individual’s </w:t>
      </w:r>
      <w:r w:rsidR="00197B72" w:rsidRPr="00F970BD">
        <w:rPr>
          <w:rFonts w:asciiTheme="minorHAnsi" w:hAnsiTheme="minorHAnsi" w:cstheme="minorHAnsi"/>
        </w:rPr>
        <w:t xml:space="preserve">social security number </w:t>
      </w:r>
      <w:r w:rsidR="005C45EC" w:rsidRPr="00F970BD">
        <w:rPr>
          <w:rFonts w:asciiTheme="minorHAnsi" w:hAnsiTheme="minorHAnsi" w:cstheme="minorHAnsi"/>
        </w:rPr>
        <w:t>for that purpose.</w:t>
      </w:r>
      <w:r w:rsidR="00572585" w:rsidRPr="00F970BD">
        <w:rPr>
          <w:rFonts w:asciiTheme="minorHAnsi" w:hAnsiTheme="minorHAnsi" w:cstheme="minorHAnsi"/>
        </w:rPr>
        <w:t xml:space="preserve"> </w:t>
      </w:r>
      <w:r w:rsidR="005C45EC" w:rsidRPr="00F970BD">
        <w:rPr>
          <w:rFonts w:asciiTheme="minorHAnsi" w:hAnsiTheme="minorHAnsi" w:cstheme="minorHAnsi"/>
        </w:rPr>
        <w:t xml:space="preserve">Except when provided for tax or child support enforcement </w:t>
      </w:r>
      <w:r w:rsidR="00CC020D">
        <w:rPr>
          <w:rFonts w:asciiTheme="minorHAnsi" w:hAnsiTheme="minorHAnsi" w:cstheme="minorHAnsi"/>
        </w:rPr>
        <w:t xml:space="preserve">or general public assistance </w:t>
      </w:r>
      <w:r w:rsidR="005C45EC" w:rsidRPr="00F970BD">
        <w:rPr>
          <w:rFonts w:asciiTheme="minorHAnsi" w:hAnsiTheme="minorHAnsi" w:cstheme="minorHAnsi"/>
        </w:rPr>
        <w:t xml:space="preserve">purposes, the </w:t>
      </w:r>
      <w:r w:rsidR="00B2185F">
        <w:rPr>
          <w:rFonts w:asciiTheme="minorHAnsi" w:hAnsiTheme="minorHAnsi" w:cstheme="minorHAnsi"/>
        </w:rPr>
        <w:t>[AGENCY]</w:t>
      </w:r>
      <w:r w:rsidR="005C45EC" w:rsidRPr="00F970BD">
        <w:rPr>
          <w:rFonts w:asciiTheme="minorHAnsi" w:hAnsiTheme="minorHAnsi" w:cstheme="minorHAnsi"/>
        </w:rPr>
        <w:t xml:space="preserve"> will consult with the </w:t>
      </w:r>
      <w:r w:rsidR="007D6EAD">
        <w:rPr>
          <w:rFonts w:asciiTheme="minorHAnsi" w:hAnsiTheme="minorHAnsi" w:cstheme="minorHAnsi"/>
        </w:rPr>
        <w:t>Oregon a</w:t>
      </w:r>
      <w:r w:rsidR="005C45EC" w:rsidRPr="00F970BD">
        <w:rPr>
          <w:rFonts w:asciiTheme="minorHAnsi" w:hAnsiTheme="minorHAnsi" w:cstheme="minorHAnsi"/>
        </w:rPr>
        <w:t xml:space="preserve">ttorney </w:t>
      </w:r>
      <w:r w:rsidR="007D6EAD">
        <w:rPr>
          <w:rFonts w:asciiTheme="minorHAnsi" w:hAnsiTheme="minorHAnsi" w:cstheme="minorHAnsi"/>
        </w:rPr>
        <w:t>g</w:t>
      </w:r>
      <w:r w:rsidR="005C45EC" w:rsidRPr="00F970BD">
        <w:rPr>
          <w:rFonts w:asciiTheme="minorHAnsi" w:hAnsiTheme="minorHAnsi" w:cstheme="minorHAnsi"/>
        </w:rPr>
        <w:t xml:space="preserve">eneral before providing a </w:t>
      </w:r>
      <w:r w:rsidR="00197B72" w:rsidRPr="00F970BD">
        <w:rPr>
          <w:rFonts w:asciiTheme="minorHAnsi" w:hAnsiTheme="minorHAnsi" w:cstheme="minorHAnsi"/>
        </w:rPr>
        <w:t>social security number</w:t>
      </w:r>
      <w:r w:rsidR="005C45EC" w:rsidRPr="00F970BD">
        <w:rPr>
          <w:rFonts w:asciiTheme="minorHAnsi" w:hAnsiTheme="minorHAnsi" w:cstheme="minorHAnsi"/>
        </w:rPr>
        <w:t>.</w:t>
      </w:r>
    </w:p>
    <w:p w14:paraId="57284C79" w14:textId="77777777" w:rsidR="00945788" w:rsidRPr="00F970BD" w:rsidRDefault="00945788" w:rsidP="00FD7DC3">
      <w:pPr>
        <w:spacing w:before="240"/>
        <w:ind w:left="540"/>
        <w:rPr>
          <w:rFonts w:asciiTheme="minorHAnsi" w:hAnsiTheme="minorHAnsi" w:cstheme="minorHAnsi"/>
        </w:rPr>
      </w:pPr>
      <w:r w:rsidRPr="007D6EAD">
        <w:rPr>
          <w:rFonts w:asciiTheme="minorHAnsi" w:hAnsiTheme="minorHAnsi" w:cstheme="minorHAnsi"/>
        </w:rPr>
        <w:t>2.</w:t>
      </w:r>
      <w:r w:rsidR="00FD7DC3" w:rsidRPr="007D6EAD">
        <w:rPr>
          <w:rFonts w:asciiTheme="minorHAnsi" w:hAnsiTheme="minorHAnsi" w:cstheme="minorHAnsi"/>
        </w:rPr>
        <w:t xml:space="preserve"> </w:t>
      </w:r>
      <w:r w:rsidRPr="00F970BD">
        <w:rPr>
          <w:rFonts w:asciiTheme="minorHAnsi" w:hAnsiTheme="minorHAnsi" w:cstheme="minorHAnsi"/>
          <w:b/>
        </w:rPr>
        <w:t xml:space="preserve">Personal </w:t>
      </w:r>
      <w:r w:rsidR="00FF0669" w:rsidRPr="00F970BD">
        <w:rPr>
          <w:rFonts w:asciiTheme="minorHAnsi" w:hAnsiTheme="minorHAnsi" w:cstheme="minorHAnsi"/>
          <w:b/>
        </w:rPr>
        <w:t>b</w:t>
      </w:r>
      <w:r w:rsidRPr="00F970BD">
        <w:rPr>
          <w:rFonts w:asciiTheme="minorHAnsi" w:hAnsiTheme="minorHAnsi" w:cstheme="minorHAnsi"/>
          <w:b/>
        </w:rPr>
        <w:t xml:space="preserve">ank </w:t>
      </w:r>
      <w:r w:rsidR="00FF0669" w:rsidRPr="00F970BD">
        <w:rPr>
          <w:rFonts w:asciiTheme="minorHAnsi" w:hAnsiTheme="minorHAnsi" w:cstheme="minorHAnsi"/>
          <w:b/>
        </w:rPr>
        <w:t>i</w:t>
      </w:r>
      <w:r w:rsidRPr="00F970BD">
        <w:rPr>
          <w:rFonts w:asciiTheme="minorHAnsi" w:hAnsiTheme="minorHAnsi" w:cstheme="minorHAnsi"/>
          <w:b/>
        </w:rPr>
        <w:t xml:space="preserve">nformation and </w:t>
      </w:r>
      <w:r w:rsidR="00FF0669" w:rsidRPr="00F970BD">
        <w:rPr>
          <w:rFonts w:asciiTheme="minorHAnsi" w:hAnsiTheme="minorHAnsi" w:cstheme="minorHAnsi"/>
          <w:b/>
        </w:rPr>
        <w:t>f</w:t>
      </w:r>
      <w:r w:rsidRPr="00F970BD">
        <w:rPr>
          <w:rFonts w:asciiTheme="minorHAnsi" w:hAnsiTheme="minorHAnsi" w:cstheme="minorHAnsi"/>
          <w:b/>
        </w:rPr>
        <w:t xml:space="preserve">ederal </w:t>
      </w:r>
      <w:r w:rsidR="00FF0669" w:rsidRPr="00F970BD">
        <w:rPr>
          <w:rFonts w:asciiTheme="minorHAnsi" w:hAnsiTheme="minorHAnsi" w:cstheme="minorHAnsi"/>
          <w:b/>
        </w:rPr>
        <w:t>t</w:t>
      </w:r>
      <w:r w:rsidRPr="00F970BD">
        <w:rPr>
          <w:rFonts w:asciiTheme="minorHAnsi" w:hAnsiTheme="minorHAnsi" w:cstheme="minorHAnsi"/>
          <w:b/>
        </w:rPr>
        <w:t xml:space="preserve">ax </w:t>
      </w:r>
      <w:r w:rsidR="00FF0669" w:rsidRPr="00F970BD">
        <w:rPr>
          <w:rFonts w:asciiTheme="minorHAnsi" w:hAnsiTheme="minorHAnsi" w:cstheme="minorHAnsi"/>
          <w:b/>
        </w:rPr>
        <w:t>i</w:t>
      </w:r>
      <w:r w:rsidRPr="00F970BD">
        <w:rPr>
          <w:rFonts w:asciiTheme="minorHAnsi" w:hAnsiTheme="minorHAnsi" w:cstheme="minorHAnsi"/>
          <w:b/>
        </w:rPr>
        <w:t xml:space="preserve">dentification </w:t>
      </w:r>
      <w:r w:rsidR="00FF0669" w:rsidRPr="00F970BD">
        <w:rPr>
          <w:rFonts w:asciiTheme="minorHAnsi" w:hAnsiTheme="minorHAnsi" w:cstheme="minorHAnsi"/>
          <w:b/>
        </w:rPr>
        <w:t>n</w:t>
      </w:r>
      <w:r w:rsidRPr="00F970BD">
        <w:rPr>
          <w:rFonts w:asciiTheme="minorHAnsi" w:hAnsiTheme="minorHAnsi" w:cstheme="minorHAnsi"/>
          <w:b/>
        </w:rPr>
        <w:t>umbers:</w:t>
      </w:r>
      <w:r w:rsidRPr="00F970BD">
        <w:rPr>
          <w:rFonts w:asciiTheme="minorHAnsi" w:hAnsiTheme="minorHAnsi" w:cstheme="minorHAnsi"/>
        </w:rPr>
        <w:t xml:space="preserve"> ORS 192.502(2), (7), and (8).</w:t>
      </w:r>
    </w:p>
    <w:p w14:paraId="57284C7A" w14:textId="77777777" w:rsidR="00945788" w:rsidRPr="00F970BD" w:rsidRDefault="00945788" w:rsidP="00FD7DC3">
      <w:pPr>
        <w:spacing w:before="240"/>
        <w:ind w:left="540"/>
        <w:rPr>
          <w:rFonts w:asciiTheme="minorHAnsi" w:hAnsiTheme="minorHAnsi" w:cstheme="minorHAnsi"/>
        </w:rPr>
      </w:pPr>
      <w:r w:rsidRPr="007D6EAD">
        <w:rPr>
          <w:rFonts w:asciiTheme="minorHAnsi" w:hAnsiTheme="minorHAnsi" w:cstheme="minorHAnsi"/>
        </w:rPr>
        <w:t>3.</w:t>
      </w:r>
      <w:r w:rsidR="00FD7DC3" w:rsidRPr="007D6EAD">
        <w:rPr>
          <w:rFonts w:asciiTheme="minorHAnsi" w:hAnsiTheme="minorHAnsi" w:cstheme="minorHAnsi"/>
        </w:rPr>
        <w:t xml:space="preserve"> </w:t>
      </w:r>
      <w:r w:rsidRPr="00F970BD">
        <w:rPr>
          <w:rFonts w:asciiTheme="minorHAnsi" w:hAnsiTheme="minorHAnsi" w:cstheme="minorHAnsi"/>
          <w:b/>
        </w:rPr>
        <w:t xml:space="preserve">Home </w:t>
      </w:r>
      <w:r w:rsidR="00FF0669" w:rsidRPr="00F970BD">
        <w:rPr>
          <w:rFonts w:asciiTheme="minorHAnsi" w:hAnsiTheme="minorHAnsi" w:cstheme="minorHAnsi"/>
          <w:b/>
        </w:rPr>
        <w:t>a</w:t>
      </w:r>
      <w:r w:rsidRPr="00F970BD">
        <w:rPr>
          <w:rFonts w:asciiTheme="minorHAnsi" w:hAnsiTheme="minorHAnsi" w:cstheme="minorHAnsi"/>
          <w:b/>
        </w:rPr>
        <w:t xml:space="preserve">ddresses and </w:t>
      </w:r>
      <w:r w:rsidR="00FF0669" w:rsidRPr="00F970BD">
        <w:rPr>
          <w:rFonts w:asciiTheme="minorHAnsi" w:hAnsiTheme="minorHAnsi" w:cstheme="minorHAnsi"/>
          <w:b/>
        </w:rPr>
        <w:t>t</w:t>
      </w:r>
      <w:r w:rsidRPr="00F970BD">
        <w:rPr>
          <w:rFonts w:asciiTheme="minorHAnsi" w:hAnsiTheme="minorHAnsi" w:cstheme="minorHAnsi"/>
          <w:b/>
        </w:rPr>
        <w:t>elephone</w:t>
      </w:r>
      <w:r w:rsidR="005C45EC" w:rsidRPr="00F970BD">
        <w:rPr>
          <w:rFonts w:asciiTheme="minorHAnsi" w:hAnsiTheme="minorHAnsi" w:cstheme="minorHAnsi"/>
          <w:b/>
        </w:rPr>
        <w:t xml:space="preserve"> </w:t>
      </w:r>
      <w:r w:rsidR="00FF0669" w:rsidRPr="00F970BD">
        <w:rPr>
          <w:rFonts w:asciiTheme="minorHAnsi" w:hAnsiTheme="minorHAnsi" w:cstheme="minorHAnsi"/>
          <w:b/>
        </w:rPr>
        <w:t>n</w:t>
      </w:r>
      <w:r w:rsidR="005C45EC" w:rsidRPr="00F970BD">
        <w:rPr>
          <w:rFonts w:asciiTheme="minorHAnsi" w:hAnsiTheme="minorHAnsi" w:cstheme="minorHAnsi"/>
          <w:b/>
        </w:rPr>
        <w:t>umber</w:t>
      </w:r>
      <w:r w:rsidRPr="00F970BD">
        <w:rPr>
          <w:rFonts w:asciiTheme="minorHAnsi" w:hAnsiTheme="minorHAnsi" w:cstheme="minorHAnsi"/>
          <w:b/>
        </w:rPr>
        <w:t>s:</w:t>
      </w:r>
      <w:r w:rsidRPr="00F970BD">
        <w:rPr>
          <w:rFonts w:asciiTheme="minorHAnsi" w:hAnsiTheme="minorHAnsi" w:cstheme="minorHAnsi"/>
        </w:rPr>
        <w:t xml:space="preserve"> ORS 192.502(2).</w:t>
      </w:r>
      <w:r w:rsidR="00572585" w:rsidRPr="00F970BD">
        <w:rPr>
          <w:rFonts w:asciiTheme="minorHAnsi" w:hAnsiTheme="minorHAnsi" w:cstheme="minorHAnsi"/>
        </w:rPr>
        <w:t xml:space="preserve"> </w:t>
      </w:r>
      <w:r w:rsidR="005C45EC" w:rsidRPr="00F970BD">
        <w:rPr>
          <w:rFonts w:asciiTheme="minorHAnsi" w:hAnsiTheme="minorHAnsi" w:cstheme="minorHAnsi"/>
        </w:rPr>
        <w:t>Home addresses and telephone numbers of prizewinners may not be exempt from disclosure unless the individual has take</w:t>
      </w:r>
      <w:r w:rsidR="00FF0669" w:rsidRPr="00F970BD">
        <w:rPr>
          <w:rFonts w:asciiTheme="minorHAnsi" w:hAnsiTheme="minorHAnsi" w:cstheme="minorHAnsi"/>
        </w:rPr>
        <w:t>n</w:t>
      </w:r>
      <w:r w:rsidR="005C45EC" w:rsidRPr="00F970BD">
        <w:rPr>
          <w:rFonts w:asciiTheme="minorHAnsi" w:hAnsiTheme="minorHAnsi" w:cstheme="minorHAnsi"/>
        </w:rPr>
        <w:t xml:space="preserve"> steps to protect this information, i.e., obtained an unlisted telephone number.</w:t>
      </w:r>
    </w:p>
    <w:p w14:paraId="57284C7B" w14:textId="77777777" w:rsidR="001F7E60" w:rsidRPr="00F970BD" w:rsidRDefault="00456D2C" w:rsidP="00FD7DC3">
      <w:pPr>
        <w:spacing w:before="240"/>
        <w:ind w:left="540"/>
        <w:rPr>
          <w:rFonts w:asciiTheme="minorHAnsi" w:hAnsiTheme="minorHAnsi" w:cstheme="minorHAnsi"/>
        </w:rPr>
      </w:pPr>
      <w:r w:rsidRPr="007D6EAD">
        <w:rPr>
          <w:rFonts w:asciiTheme="minorHAnsi" w:hAnsiTheme="minorHAnsi" w:cstheme="minorHAnsi"/>
        </w:rPr>
        <w:t>4</w:t>
      </w:r>
      <w:r w:rsidR="001F7E60" w:rsidRPr="007D6EAD">
        <w:rPr>
          <w:rFonts w:asciiTheme="minorHAnsi" w:hAnsiTheme="minorHAnsi" w:cstheme="minorHAnsi"/>
        </w:rPr>
        <w:t>.</w:t>
      </w:r>
      <w:r w:rsidR="00FD7DC3" w:rsidRPr="007D6EAD">
        <w:rPr>
          <w:rFonts w:asciiTheme="minorHAnsi" w:hAnsiTheme="minorHAnsi" w:cstheme="minorHAnsi"/>
        </w:rPr>
        <w:t xml:space="preserve"> </w:t>
      </w:r>
      <w:r w:rsidR="001F7E60" w:rsidRPr="00F970BD">
        <w:rPr>
          <w:rFonts w:asciiTheme="minorHAnsi" w:hAnsiTheme="minorHAnsi" w:cstheme="minorHAnsi"/>
          <w:b/>
        </w:rPr>
        <w:t xml:space="preserve">State and </w:t>
      </w:r>
      <w:r w:rsidR="00FF0669" w:rsidRPr="00F970BD">
        <w:rPr>
          <w:rFonts w:asciiTheme="minorHAnsi" w:hAnsiTheme="minorHAnsi" w:cstheme="minorHAnsi"/>
          <w:b/>
        </w:rPr>
        <w:t>f</w:t>
      </w:r>
      <w:r w:rsidR="001F7E60" w:rsidRPr="00F970BD">
        <w:rPr>
          <w:rFonts w:asciiTheme="minorHAnsi" w:hAnsiTheme="minorHAnsi" w:cstheme="minorHAnsi"/>
          <w:b/>
        </w:rPr>
        <w:t xml:space="preserve">ederal </w:t>
      </w:r>
      <w:r w:rsidR="00FF0669" w:rsidRPr="00F970BD">
        <w:rPr>
          <w:rFonts w:asciiTheme="minorHAnsi" w:hAnsiTheme="minorHAnsi" w:cstheme="minorHAnsi"/>
          <w:b/>
        </w:rPr>
        <w:t>t</w:t>
      </w:r>
      <w:r w:rsidR="001F7E60" w:rsidRPr="00F970BD">
        <w:rPr>
          <w:rFonts w:asciiTheme="minorHAnsi" w:hAnsiTheme="minorHAnsi" w:cstheme="minorHAnsi"/>
          <w:b/>
        </w:rPr>
        <w:t xml:space="preserve">ax </w:t>
      </w:r>
      <w:r w:rsidR="00FF0669" w:rsidRPr="00F970BD">
        <w:rPr>
          <w:rFonts w:asciiTheme="minorHAnsi" w:hAnsiTheme="minorHAnsi" w:cstheme="minorHAnsi"/>
          <w:b/>
        </w:rPr>
        <w:t>r</w:t>
      </w:r>
      <w:r w:rsidR="001F7E60" w:rsidRPr="00F970BD">
        <w:rPr>
          <w:rFonts w:asciiTheme="minorHAnsi" w:hAnsiTheme="minorHAnsi" w:cstheme="minorHAnsi"/>
          <w:b/>
        </w:rPr>
        <w:t>eturns:</w:t>
      </w:r>
      <w:r w:rsidR="001F7E60" w:rsidRPr="00F970BD">
        <w:rPr>
          <w:rFonts w:asciiTheme="minorHAnsi" w:hAnsiTheme="minorHAnsi" w:cstheme="minorHAnsi"/>
        </w:rPr>
        <w:t xml:space="preserve"> ORS </w:t>
      </w:r>
      <w:r w:rsidR="005C45EC" w:rsidRPr="00F970BD">
        <w:rPr>
          <w:rFonts w:asciiTheme="minorHAnsi" w:hAnsiTheme="minorHAnsi" w:cstheme="minorHAnsi"/>
        </w:rPr>
        <w:t>192</w:t>
      </w:r>
      <w:r w:rsidR="001F7E60" w:rsidRPr="00F970BD">
        <w:rPr>
          <w:rFonts w:asciiTheme="minorHAnsi" w:hAnsiTheme="minorHAnsi" w:cstheme="minorHAnsi"/>
        </w:rPr>
        <w:t>.502(</w:t>
      </w:r>
      <w:r w:rsidR="005C45EC" w:rsidRPr="00F970BD">
        <w:rPr>
          <w:rFonts w:asciiTheme="minorHAnsi" w:hAnsiTheme="minorHAnsi" w:cstheme="minorHAnsi"/>
        </w:rPr>
        <w:t>8</w:t>
      </w:r>
      <w:r w:rsidR="001F7E60" w:rsidRPr="00F970BD">
        <w:rPr>
          <w:rFonts w:asciiTheme="minorHAnsi" w:hAnsiTheme="minorHAnsi" w:cstheme="minorHAnsi"/>
        </w:rPr>
        <w:t>) and (</w:t>
      </w:r>
      <w:r w:rsidR="005C45EC" w:rsidRPr="00F970BD">
        <w:rPr>
          <w:rFonts w:asciiTheme="minorHAnsi" w:hAnsiTheme="minorHAnsi" w:cstheme="minorHAnsi"/>
        </w:rPr>
        <w:t>9</w:t>
      </w:r>
      <w:r w:rsidR="001F7E60" w:rsidRPr="00F970BD">
        <w:rPr>
          <w:rFonts w:asciiTheme="minorHAnsi" w:hAnsiTheme="minorHAnsi" w:cstheme="minorHAnsi"/>
        </w:rPr>
        <w:t xml:space="preserve">), </w:t>
      </w:r>
      <w:r w:rsidR="005C45EC" w:rsidRPr="00F970BD">
        <w:rPr>
          <w:rFonts w:asciiTheme="minorHAnsi" w:hAnsiTheme="minorHAnsi" w:cstheme="minorHAnsi"/>
        </w:rPr>
        <w:t xml:space="preserve">the Oregon Revenue Code, </w:t>
      </w:r>
      <w:r w:rsidR="001F7E60" w:rsidRPr="00F970BD">
        <w:rPr>
          <w:rFonts w:asciiTheme="minorHAnsi" w:hAnsiTheme="minorHAnsi" w:cstheme="minorHAnsi"/>
        </w:rPr>
        <w:t>ORS 314.835, and the Internal Revenue Code</w:t>
      </w:r>
      <w:r w:rsidR="005C45EC" w:rsidRPr="00F970BD">
        <w:rPr>
          <w:rFonts w:asciiTheme="minorHAnsi" w:hAnsiTheme="minorHAnsi" w:cstheme="minorHAnsi"/>
        </w:rPr>
        <w:t>, § 6103</w:t>
      </w:r>
      <w:r w:rsidR="001F7E60" w:rsidRPr="00F970BD">
        <w:rPr>
          <w:rFonts w:asciiTheme="minorHAnsi" w:hAnsiTheme="minorHAnsi" w:cstheme="minorHAnsi"/>
        </w:rPr>
        <w:t>.</w:t>
      </w:r>
    </w:p>
    <w:p w14:paraId="57284C7C" w14:textId="77777777" w:rsidR="001F7E60" w:rsidRPr="00F970BD" w:rsidRDefault="007D6EAD" w:rsidP="00FD7DC3">
      <w:pPr>
        <w:spacing w:before="240"/>
        <w:ind w:left="540"/>
        <w:rPr>
          <w:rFonts w:asciiTheme="minorHAnsi" w:hAnsiTheme="minorHAnsi" w:cstheme="minorHAnsi"/>
        </w:rPr>
      </w:pPr>
      <w:r w:rsidRPr="007D6EAD">
        <w:rPr>
          <w:rFonts w:asciiTheme="minorHAnsi" w:hAnsiTheme="minorHAnsi" w:cstheme="minorHAnsi"/>
        </w:rPr>
        <w:t>5</w:t>
      </w:r>
      <w:r w:rsidR="001F7E60" w:rsidRPr="007D6EAD">
        <w:rPr>
          <w:rFonts w:asciiTheme="minorHAnsi" w:hAnsiTheme="minorHAnsi" w:cstheme="minorHAnsi"/>
        </w:rPr>
        <w:t>.</w:t>
      </w:r>
      <w:r w:rsidR="00FD7DC3" w:rsidRPr="007D6EAD">
        <w:rPr>
          <w:rFonts w:asciiTheme="minorHAnsi" w:hAnsiTheme="minorHAnsi" w:cstheme="minorHAnsi"/>
        </w:rPr>
        <w:t xml:space="preserve"> </w:t>
      </w:r>
      <w:r w:rsidR="001F7E60" w:rsidRPr="00F970BD">
        <w:rPr>
          <w:rFonts w:asciiTheme="minorHAnsi" w:hAnsiTheme="minorHAnsi" w:cstheme="minorHAnsi"/>
          <w:b/>
        </w:rPr>
        <w:t xml:space="preserve">Taxes </w:t>
      </w:r>
      <w:r w:rsidR="007C6CC0" w:rsidRPr="00F970BD">
        <w:rPr>
          <w:rFonts w:asciiTheme="minorHAnsi" w:hAnsiTheme="minorHAnsi" w:cstheme="minorHAnsi"/>
          <w:b/>
        </w:rPr>
        <w:t>p</w:t>
      </w:r>
      <w:r w:rsidR="001F7E60" w:rsidRPr="00F970BD">
        <w:rPr>
          <w:rFonts w:asciiTheme="minorHAnsi" w:hAnsiTheme="minorHAnsi" w:cstheme="minorHAnsi"/>
          <w:b/>
        </w:rPr>
        <w:t xml:space="preserve">ast </w:t>
      </w:r>
      <w:r w:rsidR="007C6CC0" w:rsidRPr="00F970BD">
        <w:rPr>
          <w:rFonts w:asciiTheme="minorHAnsi" w:hAnsiTheme="minorHAnsi" w:cstheme="minorHAnsi"/>
          <w:b/>
        </w:rPr>
        <w:t>d</w:t>
      </w:r>
      <w:r w:rsidR="001F7E60" w:rsidRPr="00F970BD">
        <w:rPr>
          <w:rFonts w:asciiTheme="minorHAnsi" w:hAnsiTheme="minorHAnsi" w:cstheme="minorHAnsi"/>
          <w:b/>
        </w:rPr>
        <w:t xml:space="preserve">ue at </w:t>
      </w:r>
      <w:r w:rsidR="007C6CC0" w:rsidRPr="00F970BD">
        <w:rPr>
          <w:rFonts w:asciiTheme="minorHAnsi" w:hAnsiTheme="minorHAnsi" w:cstheme="minorHAnsi"/>
          <w:b/>
        </w:rPr>
        <w:t>t</w:t>
      </w:r>
      <w:r w:rsidR="001F7E60" w:rsidRPr="00F970BD">
        <w:rPr>
          <w:rFonts w:asciiTheme="minorHAnsi" w:hAnsiTheme="minorHAnsi" w:cstheme="minorHAnsi"/>
          <w:b/>
        </w:rPr>
        <w:t xml:space="preserve">ime of </w:t>
      </w:r>
      <w:r w:rsidR="007C6CC0" w:rsidRPr="00F970BD">
        <w:rPr>
          <w:rFonts w:asciiTheme="minorHAnsi" w:hAnsiTheme="minorHAnsi" w:cstheme="minorHAnsi"/>
          <w:b/>
        </w:rPr>
        <w:t>a</w:t>
      </w:r>
      <w:r w:rsidR="001F7E60" w:rsidRPr="00F970BD">
        <w:rPr>
          <w:rFonts w:asciiTheme="minorHAnsi" w:hAnsiTheme="minorHAnsi" w:cstheme="minorHAnsi"/>
          <w:b/>
        </w:rPr>
        <w:t xml:space="preserve">pplication for </w:t>
      </w:r>
      <w:r w:rsidR="007C6CC0" w:rsidRPr="00F970BD">
        <w:rPr>
          <w:rFonts w:asciiTheme="minorHAnsi" w:hAnsiTheme="minorHAnsi" w:cstheme="minorHAnsi"/>
          <w:b/>
        </w:rPr>
        <w:t>a r</w:t>
      </w:r>
      <w:r w:rsidR="001F7E60" w:rsidRPr="00F970BD">
        <w:rPr>
          <w:rFonts w:asciiTheme="minorHAnsi" w:hAnsiTheme="minorHAnsi" w:cstheme="minorHAnsi"/>
          <w:b/>
        </w:rPr>
        <w:t xml:space="preserve">etailer </w:t>
      </w:r>
      <w:r w:rsidR="007C6CC0" w:rsidRPr="00F970BD">
        <w:rPr>
          <w:rFonts w:asciiTheme="minorHAnsi" w:hAnsiTheme="minorHAnsi" w:cstheme="minorHAnsi"/>
          <w:b/>
        </w:rPr>
        <w:t>c</w:t>
      </w:r>
      <w:r w:rsidR="001F7E60" w:rsidRPr="00F970BD">
        <w:rPr>
          <w:rFonts w:asciiTheme="minorHAnsi" w:hAnsiTheme="minorHAnsi" w:cstheme="minorHAnsi"/>
          <w:b/>
        </w:rPr>
        <w:t>ontract:</w:t>
      </w:r>
      <w:r w:rsidR="001F7E60" w:rsidRPr="00F970BD">
        <w:rPr>
          <w:rFonts w:asciiTheme="minorHAnsi" w:hAnsiTheme="minorHAnsi" w:cstheme="minorHAnsi"/>
        </w:rPr>
        <w:t xml:space="preserve"> </w:t>
      </w:r>
      <w:r w:rsidR="005C45EC" w:rsidRPr="00F970BD">
        <w:rPr>
          <w:rFonts w:asciiTheme="minorHAnsi" w:hAnsiTheme="minorHAnsi" w:cstheme="minorHAnsi"/>
        </w:rPr>
        <w:t xml:space="preserve">ORS 192.502(8) and (9), </w:t>
      </w:r>
      <w:r w:rsidR="001F7E60" w:rsidRPr="00F970BD">
        <w:rPr>
          <w:rFonts w:asciiTheme="minorHAnsi" w:hAnsiTheme="minorHAnsi" w:cstheme="minorHAnsi"/>
        </w:rPr>
        <w:t xml:space="preserve">Internal Revenue Code, </w:t>
      </w:r>
      <w:r w:rsidR="005C45EC" w:rsidRPr="00F970BD">
        <w:rPr>
          <w:rFonts w:asciiTheme="minorHAnsi" w:hAnsiTheme="minorHAnsi" w:cstheme="minorHAnsi"/>
        </w:rPr>
        <w:t xml:space="preserve">§ 6103, and the </w:t>
      </w:r>
      <w:r w:rsidR="003D3796" w:rsidRPr="00F970BD">
        <w:rPr>
          <w:rFonts w:asciiTheme="minorHAnsi" w:hAnsiTheme="minorHAnsi" w:cstheme="minorHAnsi"/>
        </w:rPr>
        <w:t xml:space="preserve">Oregon </w:t>
      </w:r>
      <w:r w:rsidR="001F7E60" w:rsidRPr="00F970BD">
        <w:rPr>
          <w:rFonts w:asciiTheme="minorHAnsi" w:hAnsiTheme="minorHAnsi" w:cstheme="minorHAnsi"/>
        </w:rPr>
        <w:t>Revenue Code</w:t>
      </w:r>
      <w:r w:rsidR="005C45EC" w:rsidRPr="00F970BD">
        <w:rPr>
          <w:rFonts w:asciiTheme="minorHAnsi" w:hAnsiTheme="minorHAnsi" w:cstheme="minorHAnsi"/>
        </w:rPr>
        <w:t>, ORS 314.835</w:t>
      </w:r>
      <w:r w:rsidR="001F7E60" w:rsidRPr="00F970BD">
        <w:rPr>
          <w:rFonts w:asciiTheme="minorHAnsi" w:hAnsiTheme="minorHAnsi" w:cstheme="minorHAnsi"/>
        </w:rPr>
        <w:t>.</w:t>
      </w:r>
    </w:p>
    <w:p w14:paraId="57284C7D" w14:textId="77777777" w:rsidR="001F7E60" w:rsidRPr="00F970BD" w:rsidRDefault="007D6EAD" w:rsidP="00FD7DC3">
      <w:pPr>
        <w:spacing w:before="240"/>
        <w:ind w:left="540"/>
        <w:rPr>
          <w:rFonts w:asciiTheme="minorHAnsi" w:hAnsiTheme="minorHAnsi" w:cstheme="minorHAnsi"/>
        </w:rPr>
      </w:pPr>
      <w:r w:rsidRPr="007D6EAD">
        <w:rPr>
          <w:rFonts w:asciiTheme="minorHAnsi" w:hAnsiTheme="minorHAnsi" w:cstheme="minorHAnsi"/>
        </w:rPr>
        <w:t>6</w:t>
      </w:r>
      <w:r w:rsidR="001F7E60" w:rsidRPr="007D6EAD">
        <w:rPr>
          <w:rFonts w:asciiTheme="minorHAnsi" w:hAnsiTheme="minorHAnsi" w:cstheme="minorHAnsi"/>
        </w:rPr>
        <w:t>.</w:t>
      </w:r>
      <w:r w:rsidR="00FD7DC3" w:rsidRPr="007D6EAD">
        <w:rPr>
          <w:rFonts w:asciiTheme="minorHAnsi" w:hAnsiTheme="minorHAnsi" w:cstheme="minorHAnsi"/>
        </w:rPr>
        <w:t xml:space="preserve"> </w:t>
      </w:r>
      <w:r w:rsidR="001F7E60" w:rsidRPr="00F970BD">
        <w:rPr>
          <w:rFonts w:asciiTheme="minorHAnsi" w:hAnsiTheme="minorHAnsi" w:cstheme="minorHAnsi"/>
          <w:b/>
        </w:rPr>
        <w:t>Arrest</w:t>
      </w:r>
      <w:r w:rsidR="00456D2C" w:rsidRPr="00F970BD">
        <w:rPr>
          <w:rFonts w:asciiTheme="minorHAnsi" w:hAnsiTheme="minorHAnsi" w:cstheme="minorHAnsi"/>
          <w:b/>
        </w:rPr>
        <w:t>s</w:t>
      </w:r>
      <w:r w:rsidR="007C6CC0" w:rsidRPr="00F970BD">
        <w:rPr>
          <w:rFonts w:asciiTheme="minorHAnsi" w:hAnsiTheme="minorHAnsi" w:cstheme="minorHAnsi"/>
          <w:b/>
        </w:rPr>
        <w:t>, i</w:t>
      </w:r>
      <w:r w:rsidR="001F7E60" w:rsidRPr="00F970BD">
        <w:rPr>
          <w:rFonts w:asciiTheme="minorHAnsi" w:hAnsiTheme="minorHAnsi" w:cstheme="minorHAnsi"/>
          <w:b/>
        </w:rPr>
        <w:t>ndictment</w:t>
      </w:r>
      <w:r w:rsidR="00456D2C" w:rsidRPr="00F970BD">
        <w:rPr>
          <w:rFonts w:asciiTheme="minorHAnsi" w:hAnsiTheme="minorHAnsi" w:cstheme="minorHAnsi"/>
          <w:b/>
        </w:rPr>
        <w:t>s</w:t>
      </w:r>
      <w:r w:rsidR="001F7E60" w:rsidRPr="00F970BD">
        <w:rPr>
          <w:rFonts w:asciiTheme="minorHAnsi" w:hAnsiTheme="minorHAnsi" w:cstheme="minorHAnsi"/>
          <w:b/>
        </w:rPr>
        <w:t xml:space="preserve">, or </w:t>
      </w:r>
      <w:r w:rsidR="007C6CC0" w:rsidRPr="00F970BD">
        <w:rPr>
          <w:rFonts w:asciiTheme="minorHAnsi" w:hAnsiTheme="minorHAnsi" w:cstheme="minorHAnsi"/>
          <w:b/>
        </w:rPr>
        <w:t>c</w:t>
      </w:r>
      <w:r w:rsidR="001F7E60" w:rsidRPr="00F970BD">
        <w:rPr>
          <w:rFonts w:asciiTheme="minorHAnsi" w:hAnsiTheme="minorHAnsi" w:cstheme="minorHAnsi"/>
          <w:b/>
        </w:rPr>
        <w:t>onviction</w:t>
      </w:r>
      <w:r w:rsidR="00456D2C" w:rsidRPr="00F970BD">
        <w:rPr>
          <w:rFonts w:asciiTheme="minorHAnsi" w:hAnsiTheme="minorHAnsi" w:cstheme="minorHAnsi"/>
          <w:b/>
        </w:rPr>
        <w:t>s</w:t>
      </w:r>
      <w:r w:rsidR="001F7E60" w:rsidRPr="00F970BD">
        <w:rPr>
          <w:rFonts w:asciiTheme="minorHAnsi" w:hAnsiTheme="minorHAnsi" w:cstheme="minorHAnsi"/>
          <w:b/>
        </w:rPr>
        <w:t xml:space="preserve"> f</w:t>
      </w:r>
      <w:r w:rsidR="00945788" w:rsidRPr="00F970BD">
        <w:rPr>
          <w:rFonts w:asciiTheme="minorHAnsi" w:hAnsiTheme="minorHAnsi" w:cstheme="minorHAnsi"/>
          <w:b/>
        </w:rPr>
        <w:t>or</w:t>
      </w:r>
      <w:r w:rsidR="001F7E60" w:rsidRPr="00F970BD">
        <w:rPr>
          <w:rFonts w:asciiTheme="minorHAnsi" w:hAnsiTheme="minorHAnsi" w:cstheme="minorHAnsi"/>
          <w:b/>
        </w:rPr>
        <w:t xml:space="preserve"> </w:t>
      </w:r>
      <w:r w:rsidR="007C6CC0" w:rsidRPr="00F970BD">
        <w:rPr>
          <w:rFonts w:asciiTheme="minorHAnsi" w:hAnsiTheme="minorHAnsi" w:cstheme="minorHAnsi"/>
          <w:b/>
        </w:rPr>
        <w:t>c</w:t>
      </w:r>
      <w:r w:rsidR="001F7E60" w:rsidRPr="00F970BD">
        <w:rPr>
          <w:rFonts w:asciiTheme="minorHAnsi" w:hAnsiTheme="minorHAnsi" w:cstheme="minorHAnsi"/>
          <w:b/>
        </w:rPr>
        <w:t xml:space="preserve">riminal </w:t>
      </w:r>
      <w:r w:rsidR="007C6CC0" w:rsidRPr="00F970BD">
        <w:rPr>
          <w:rFonts w:asciiTheme="minorHAnsi" w:hAnsiTheme="minorHAnsi" w:cstheme="minorHAnsi"/>
          <w:b/>
        </w:rPr>
        <w:t>o</w:t>
      </w:r>
      <w:r w:rsidR="001F7E60" w:rsidRPr="00F970BD">
        <w:rPr>
          <w:rFonts w:asciiTheme="minorHAnsi" w:hAnsiTheme="minorHAnsi" w:cstheme="minorHAnsi"/>
          <w:b/>
        </w:rPr>
        <w:t>ffense</w:t>
      </w:r>
      <w:r w:rsidR="00456D2C" w:rsidRPr="00F970BD">
        <w:rPr>
          <w:rFonts w:asciiTheme="minorHAnsi" w:hAnsiTheme="minorHAnsi" w:cstheme="minorHAnsi"/>
          <w:b/>
        </w:rPr>
        <w:t>s</w:t>
      </w:r>
      <w:r w:rsidR="001F7E60" w:rsidRPr="00F970BD">
        <w:rPr>
          <w:rFonts w:asciiTheme="minorHAnsi" w:hAnsiTheme="minorHAnsi" w:cstheme="minorHAnsi"/>
          <w:b/>
        </w:rPr>
        <w:t>:</w:t>
      </w:r>
      <w:r w:rsidR="001F7E60" w:rsidRPr="00F970BD">
        <w:rPr>
          <w:rFonts w:asciiTheme="minorHAnsi" w:hAnsiTheme="minorHAnsi" w:cstheme="minorHAnsi"/>
        </w:rPr>
        <w:t xml:space="preserve"> ORS 192.502(2) and (8), ORS 181.</w:t>
      </w:r>
      <w:r w:rsidR="00EE4CF3" w:rsidRPr="00F970BD">
        <w:rPr>
          <w:rFonts w:asciiTheme="minorHAnsi" w:hAnsiTheme="minorHAnsi" w:cstheme="minorHAnsi"/>
        </w:rPr>
        <w:t xml:space="preserve">548, OAR 257-010-0025, </w:t>
      </w:r>
      <w:r w:rsidR="001F7E60" w:rsidRPr="00F970BD">
        <w:rPr>
          <w:rFonts w:asciiTheme="minorHAnsi" w:hAnsiTheme="minorHAnsi" w:cstheme="minorHAnsi"/>
        </w:rPr>
        <w:t>Freedom of Information Act</w:t>
      </w:r>
      <w:r w:rsidR="00EE4CF3" w:rsidRPr="00F970BD">
        <w:rPr>
          <w:rFonts w:asciiTheme="minorHAnsi" w:hAnsiTheme="minorHAnsi" w:cstheme="minorHAnsi"/>
        </w:rPr>
        <w:t>, 5 USC § 552, and ORS 137.225</w:t>
      </w:r>
      <w:r w:rsidR="001F7E60" w:rsidRPr="00F970BD">
        <w:rPr>
          <w:rFonts w:asciiTheme="minorHAnsi" w:hAnsiTheme="minorHAnsi" w:cstheme="minorHAnsi"/>
        </w:rPr>
        <w:t>.</w:t>
      </w:r>
      <w:r w:rsidR="00572585" w:rsidRPr="00F970BD">
        <w:rPr>
          <w:rFonts w:asciiTheme="minorHAnsi" w:hAnsiTheme="minorHAnsi" w:cstheme="minorHAnsi"/>
        </w:rPr>
        <w:t xml:space="preserve"> </w:t>
      </w:r>
      <w:r w:rsidR="001F7E60" w:rsidRPr="00F970BD">
        <w:rPr>
          <w:rFonts w:asciiTheme="minorHAnsi" w:hAnsiTheme="minorHAnsi" w:cstheme="minorHAnsi"/>
        </w:rPr>
        <w:t xml:space="preserve">Arrest, indictment, and conviction information received by the </w:t>
      </w:r>
      <w:r w:rsidR="00B2185F">
        <w:rPr>
          <w:rFonts w:asciiTheme="minorHAnsi" w:hAnsiTheme="minorHAnsi" w:cstheme="minorHAnsi"/>
        </w:rPr>
        <w:t>[AGENCY]</w:t>
      </w:r>
      <w:r w:rsidR="001F7E60" w:rsidRPr="00F970BD">
        <w:rPr>
          <w:rFonts w:asciiTheme="minorHAnsi" w:hAnsiTheme="minorHAnsi" w:cstheme="minorHAnsi"/>
        </w:rPr>
        <w:t xml:space="preserve"> through state or criminal information systems is exempt from disclosure under the </w:t>
      </w:r>
      <w:r w:rsidR="007C6CC0" w:rsidRPr="00F970BD">
        <w:rPr>
          <w:rFonts w:asciiTheme="minorHAnsi" w:hAnsiTheme="minorHAnsi" w:cstheme="minorHAnsi"/>
        </w:rPr>
        <w:t>p</w:t>
      </w:r>
      <w:r w:rsidR="001F7E60" w:rsidRPr="00F970BD">
        <w:rPr>
          <w:rFonts w:asciiTheme="minorHAnsi" w:hAnsiTheme="minorHAnsi" w:cstheme="minorHAnsi"/>
        </w:rPr>
        <w:t xml:space="preserve">ublic </w:t>
      </w:r>
      <w:r w:rsidR="007C6CC0" w:rsidRPr="00F970BD">
        <w:rPr>
          <w:rFonts w:asciiTheme="minorHAnsi" w:hAnsiTheme="minorHAnsi" w:cstheme="minorHAnsi"/>
        </w:rPr>
        <w:t>r</w:t>
      </w:r>
      <w:r w:rsidR="001F7E60" w:rsidRPr="00F970BD">
        <w:rPr>
          <w:rFonts w:asciiTheme="minorHAnsi" w:hAnsiTheme="minorHAnsi" w:cstheme="minorHAnsi"/>
        </w:rPr>
        <w:t xml:space="preserve">ecords </w:t>
      </w:r>
      <w:r w:rsidR="007C6CC0" w:rsidRPr="00F970BD">
        <w:rPr>
          <w:rFonts w:asciiTheme="minorHAnsi" w:hAnsiTheme="minorHAnsi" w:cstheme="minorHAnsi"/>
        </w:rPr>
        <w:t>l</w:t>
      </w:r>
      <w:r w:rsidR="001F7E60" w:rsidRPr="00F970BD">
        <w:rPr>
          <w:rFonts w:asciiTheme="minorHAnsi" w:hAnsiTheme="minorHAnsi" w:cstheme="minorHAnsi"/>
        </w:rPr>
        <w:t>aw and will not be disclosed.</w:t>
      </w:r>
      <w:r w:rsidR="00572585" w:rsidRPr="00F970BD">
        <w:rPr>
          <w:rFonts w:asciiTheme="minorHAnsi" w:hAnsiTheme="minorHAnsi" w:cstheme="minorHAnsi"/>
        </w:rPr>
        <w:t xml:space="preserve"> </w:t>
      </w:r>
      <w:r w:rsidR="001F7E60" w:rsidRPr="00F970BD">
        <w:rPr>
          <w:rFonts w:asciiTheme="minorHAnsi" w:hAnsiTheme="minorHAnsi" w:cstheme="minorHAnsi"/>
        </w:rPr>
        <w:t>However, when this information is provided by the applicant, it will be considered for release on a case-by-case basis under ORS 192.502 if the requestor can show</w:t>
      </w:r>
      <w:r w:rsidR="00945788" w:rsidRPr="00F970BD">
        <w:rPr>
          <w:rFonts w:asciiTheme="minorHAnsi" w:hAnsiTheme="minorHAnsi" w:cstheme="minorHAnsi"/>
        </w:rPr>
        <w:t xml:space="preserve"> </w:t>
      </w:r>
      <w:r w:rsidR="001F7E60" w:rsidRPr="00F970BD">
        <w:rPr>
          <w:rFonts w:asciiTheme="minorHAnsi" w:hAnsiTheme="minorHAnsi" w:cstheme="minorHAnsi"/>
        </w:rPr>
        <w:t xml:space="preserve">by clear and convincing evidence </w:t>
      </w:r>
      <w:r w:rsidR="00945788" w:rsidRPr="00F970BD">
        <w:rPr>
          <w:rFonts w:asciiTheme="minorHAnsi" w:hAnsiTheme="minorHAnsi" w:cstheme="minorHAnsi"/>
        </w:rPr>
        <w:t xml:space="preserve">that the public interest </w:t>
      </w:r>
      <w:r w:rsidR="001F7E60" w:rsidRPr="00F970BD">
        <w:rPr>
          <w:rFonts w:asciiTheme="minorHAnsi" w:hAnsiTheme="minorHAnsi" w:cstheme="minorHAnsi"/>
        </w:rPr>
        <w:t>requires disclosu</w:t>
      </w:r>
      <w:r w:rsidR="00945788" w:rsidRPr="00F970BD">
        <w:rPr>
          <w:rFonts w:asciiTheme="minorHAnsi" w:hAnsiTheme="minorHAnsi" w:cstheme="minorHAnsi"/>
        </w:rPr>
        <w:t>re in the particular instance.</w:t>
      </w:r>
    </w:p>
    <w:p w14:paraId="57284C7E" w14:textId="77777777" w:rsidR="00EE4CF3" w:rsidRPr="0005640B" w:rsidRDefault="007D6EAD" w:rsidP="00FD7DC3">
      <w:pPr>
        <w:spacing w:before="240"/>
        <w:ind w:left="540"/>
        <w:rPr>
          <w:rFonts w:asciiTheme="minorHAnsi" w:hAnsiTheme="minorHAnsi" w:cstheme="minorHAnsi"/>
        </w:rPr>
      </w:pPr>
      <w:r w:rsidRPr="007D6EAD">
        <w:rPr>
          <w:rFonts w:asciiTheme="minorHAnsi" w:hAnsiTheme="minorHAnsi" w:cstheme="minorHAnsi"/>
        </w:rPr>
        <w:t>7</w:t>
      </w:r>
      <w:r w:rsidR="00EE4CF3" w:rsidRPr="007D6EAD">
        <w:rPr>
          <w:rFonts w:asciiTheme="minorHAnsi" w:hAnsiTheme="minorHAnsi" w:cstheme="minorHAnsi"/>
        </w:rPr>
        <w:t>.</w:t>
      </w:r>
      <w:r w:rsidR="00FD7DC3" w:rsidRPr="007D6EAD">
        <w:rPr>
          <w:rFonts w:asciiTheme="minorHAnsi" w:hAnsiTheme="minorHAnsi" w:cstheme="minorHAnsi"/>
        </w:rPr>
        <w:t xml:space="preserve"> </w:t>
      </w:r>
      <w:r w:rsidR="00EE4CF3" w:rsidRPr="00F970BD">
        <w:rPr>
          <w:rFonts w:asciiTheme="minorHAnsi" w:hAnsiTheme="minorHAnsi" w:cstheme="minorHAnsi"/>
          <w:b/>
        </w:rPr>
        <w:t xml:space="preserve">Trade </w:t>
      </w:r>
      <w:r w:rsidR="007C6CC0" w:rsidRPr="00F970BD">
        <w:rPr>
          <w:rFonts w:asciiTheme="minorHAnsi" w:hAnsiTheme="minorHAnsi" w:cstheme="minorHAnsi"/>
          <w:b/>
        </w:rPr>
        <w:t>s</w:t>
      </w:r>
      <w:r w:rsidR="00EE4CF3" w:rsidRPr="00F970BD">
        <w:rPr>
          <w:rFonts w:asciiTheme="minorHAnsi" w:hAnsiTheme="minorHAnsi" w:cstheme="minorHAnsi"/>
          <w:b/>
        </w:rPr>
        <w:t xml:space="preserve">ecrets or </w:t>
      </w:r>
      <w:r w:rsidR="007C6CC0" w:rsidRPr="00F970BD">
        <w:rPr>
          <w:rFonts w:asciiTheme="minorHAnsi" w:hAnsiTheme="minorHAnsi" w:cstheme="minorHAnsi"/>
          <w:b/>
        </w:rPr>
        <w:t>c</w:t>
      </w:r>
      <w:r w:rsidR="00EE4CF3" w:rsidRPr="00F970BD">
        <w:rPr>
          <w:rFonts w:asciiTheme="minorHAnsi" w:hAnsiTheme="minorHAnsi" w:cstheme="minorHAnsi"/>
          <w:b/>
        </w:rPr>
        <w:t xml:space="preserve">onfidential </w:t>
      </w:r>
      <w:r w:rsidR="007C6CC0" w:rsidRPr="00F970BD">
        <w:rPr>
          <w:rFonts w:asciiTheme="minorHAnsi" w:hAnsiTheme="minorHAnsi" w:cstheme="minorHAnsi"/>
          <w:b/>
        </w:rPr>
        <w:t>s</w:t>
      </w:r>
      <w:r w:rsidR="00EE4CF3" w:rsidRPr="00F970BD">
        <w:rPr>
          <w:rFonts w:asciiTheme="minorHAnsi" w:hAnsiTheme="minorHAnsi" w:cstheme="minorHAnsi"/>
          <w:b/>
        </w:rPr>
        <w:t>ubmissions:</w:t>
      </w:r>
      <w:r w:rsidR="00EE4CF3" w:rsidRPr="00F970BD">
        <w:rPr>
          <w:rFonts w:asciiTheme="minorHAnsi" w:hAnsiTheme="minorHAnsi" w:cstheme="minorHAnsi"/>
        </w:rPr>
        <w:t xml:space="preserve"> ORS 192.501(2), ORS 192.502(4), </w:t>
      </w:r>
      <w:r w:rsidR="00EE4CF3" w:rsidRPr="00F970BD">
        <w:rPr>
          <w:rFonts w:asciiTheme="minorHAnsi" w:hAnsiTheme="minorHAnsi" w:cstheme="minorHAnsi"/>
          <w:i/>
        </w:rPr>
        <w:t xml:space="preserve">Premier Technology v. Oregon State </w:t>
      </w:r>
      <w:r w:rsidR="00B2185F">
        <w:rPr>
          <w:rFonts w:asciiTheme="minorHAnsi" w:hAnsiTheme="minorHAnsi" w:cstheme="minorHAnsi"/>
          <w:i/>
        </w:rPr>
        <w:t>[AGENCY]</w:t>
      </w:r>
      <w:r w:rsidR="00EE4CF3" w:rsidRPr="00F970BD">
        <w:rPr>
          <w:rFonts w:asciiTheme="minorHAnsi" w:hAnsiTheme="minorHAnsi" w:cstheme="minorHAnsi"/>
        </w:rPr>
        <w:t>, 136 Or App 124, 901 P2d 883 (1995).</w:t>
      </w:r>
      <w:r w:rsidR="00572585" w:rsidRPr="00F970BD">
        <w:rPr>
          <w:rFonts w:asciiTheme="minorHAnsi" w:hAnsiTheme="minorHAnsi" w:cstheme="minorHAnsi"/>
        </w:rPr>
        <w:t xml:space="preserve"> </w:t>
      </w:r>
      <w:r w:rsidR="00EE4CF3" w:rsidRPr="00F970BD">
        <w:rPr>
          <w:rFonts w:asciiTheme="minorHAnsi" w:hAnsiTheme="minorHAnsi" w:cstheme="minorHAnsi"/>
        </w:rPr>
        <w:t xml:space="preserve">As discussed above, trade secrets are likely exempt from disclosure and the </w:t>
      </w:r>
      <w:r>
        <w:rPr>
          <w:rFonts w:asciiTheme="minorHAnsi" w:hAnsiTheme="minorHAnsi" w:cstheme="minorHAnsi"/>
        </w:rPr>
        <w:t>Oregon a</w:t>
      </w:r>
      <w:r w:rsidR="00EE4CF3" w:rsidRPr="00F970BD">
        <w:rPr>
          <w:rFonts w:asciiTheme="minorHAnsi" w:hAnsiTheme="minorHAnsi" w:cstheme="minorHAnsi"/>
        </w:rPr>
        <w:t xml:space="preserve">ttorney </w:t>
      </w:r>
      <w:r>
        <w:rPr>
          <w:rFonts w:asciiTheme="minorHAnsi" w:hAnsiTheme="minorHAnsi" w:cstheme="minorHAnsi"/>
        </w:rPr>
        <w:t>g</w:t>
      </w:r>
      <w:r w:rsidR="00EE4CF3" w:rsidRPr="00F970BD">
        <w:rPr>
          <w:rFonts w:asciiTheme="minorHAnsi" w:hAnsiTheme="minorHAnsi" w:cstheme="minorHAnsi"/>
        </w:rPr>
        <w:t>eneral</w:t>
      </w:r>
      <w:r>
        <w:rPr>
          <w:rFonts w:asciiTheme="minorHAnsi" w:hAnsiTheme="minorHAnsi" w:cstheme="minorHAnsi"/>
        </w:rPr>
        <w:t xml:space="preserve"> </w:t>
      </w:r>
      <w:r w:rsidR="00EE4CF3" w:rsidRPr="00F970BD">
        <w:rPr>
          <w:rFonts w:asciiTheme="minorHAnsi" w:hAnsiTheme="minorHAnsi" w:cstheme="minorHAnsi"/>
        </w:rPr>
        <w:t>should be consulted before release of any record containing a trade secret.</w:t>
      </w:r>
      <w:r w:rsidR="00572585" w:rsidRPr="00F970BD">
        <w:rPr>
          <w:rFonts w:asciiTheme="minorHAnsi" w:hAnsiTheme="minorHAnsi" w:cstheme="minorHAnsi"/>
        </w:rPr>
        <w:t xml:space="preserve"> </w:t>
      </w:r>
      <w:r w:rsidR="00EE4CF3" w:rsidRPr="00F970BD">
        <w:rPr>
          <w:rFonts w:asciiTheme="minorHAnsi" w:hAnsiTheme="minorHAnsi" w:cstheme="minorHAnsi"/>
        </w:rPr>
        <w:t xml:space="preserve">Information submitted in confidence, including any information marked by a retailer or vendor as confidential, should not be released unless </w:t>
      </w:r>
      <w:r w:rsidR="00B2185F">
        <w:rPr>
          <w:rFonts w:asciiTheme="minorHAnsi" w:hAnsiTheme="minorHAnsi" w:cstheme="minorHAnsi"/>
        </w:rPr>
        <w:t>[AGENCY]</w:t>
      </w:r>
      <w:r w:rsidR="00EE4CF3" w:rsidRPr="00F970BD">
        <w:rPr>
          <w:rFonts w:asciiTheme="minorHAnsi" w:hAnsiTheme="minorHAnsi" w:cstheme="minorHAnsi"/>
        </w:rPr>
        <w:t xml:space="preserve"> staff has consulted with the </w:t>
      </w:r>
      <w:r>
        <w:rPr>
          <w:rFonts w:asciiTheme="minorHAnsi" w:hAnsiTheme="minorHAnsi" w:cstheme="minorHAnsi"/>
        </w:rPr>
        <w:t>Oregon a</w:t>
      </w:r>
      <w:r w:rsidR="00EE4CF3" w:rsidRPr="00F970BD">
        <w:rPr>
          <w:rFonts w:asciiTheme="minorHAnsi" w:hAnsiTheme="minorHAnsi" w:cstheme="minorHAnsi"/>
        </w:rPr>
        <w:t xml:space="preserve">ttorney </w:t>
      </w:r>
      <w:r>
        <w:rPr>
          <w:rFonts w:asciiTheme="minorHAnsi" w:hAnsiTheme="minorHAnsi" w:cstheme="minorHAnsi"/>
        </w:rPr>
        <w:t>g</w:t>
      </w:r>
      <w:r w:rsidR="00EE4CF3" w:rsidRPr="00F970BD">
        <w:rPr>
          <w:rFonts w:asciiTheme="minorHAnsi" w:hAnsiTheme="minorHAnsi" w:cstheme="minorHAnsi"/>
        </w:rPr>
        <w:t>eneral and release of the information has been authorized.</w:t>
      </w:r>
    </w:p>
    <w:p w14:paraId="57284C7F" w14:textId="77777777" w:rsidR="003D3796" w:rsidRPr="0005640B" w:rsidRDefault="003D3796" w:rsidP="0005640B">
      <w:pPr>
        <w:tabs>
          <w:tab w:val="left" w:pos="1080"/>
        </w:tabs>
        <w:rPr>
          <w:rFonts w:asciiTheme="minorHAnsi" w:hAnsiTheme="minorHAnsi" w:cstheme="minorHAnsi"/>
          <w:b/>
          <w:u w:val="single"/>
        </w:rPr>
      </w:pP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r w:rsidRPr="0005640B">
        <w:rPr>
          <w:rFonts w:asciiTheme="minorHAnsi" w:hAnsiTheme="minorHAnsi" w:cstheme="minorHAnsi"/>
          <w:b/>
          <w:u w:val="single"/>
        </w:rPr>
        <w:tab/>
      </w:r>
    </w:p>
    <w:sectPr w:rsidR="003D3796" w:rsidRPr="0005640B" w:rsidSect="00A204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0BAB" w14:textId="77777777" w:rsidR="00B006E7" w:rsidRDefault="00B006E7">
      <w:r>
        <w:separator/>
      </w:r>
    </w:p>
  </w:endnote>
  <w:endnote w:type="continuationSeparator" w:id="0">
    <w:p w14:paraId="52A739CB" w14:textId="77777777" w:rsidR="00B006E7" w:rsidRDefault="00B0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C86" w14:textId="77777777" w:rsidR="00DF51D3" w:rsidRPr="00572585" w:rsidRDefault="00DF51D3">
    <w:pPr>
      <w:pStyle w:val="Footer"/>
      <w:jc w:val="center"/>
      <w:rPr>
        <w:rFonts w:asciiTheme="minorHAnsi" w:hAnsiTheme="minorHAnsi" w:cstheme="minorHAnsi"/>
      </w:rPr>
    </w:pPr>
    <w:r w:rsidRPr="00572585">
      <w:rPr>
        <w:rFonts w:asciiTheme="minorHAnsi" w:hAnsiTheme="minorHAnsi" w:cstheme="minorHAnsi"/>
      </w:rPr>
      <w:t>Policy – Public Records</w:t>
    </w:r>
    <w:r w:rsidR="001D725B">
      <w:rPr>
        <w:rFonts w:asciiTheme="minorHAnsi" w:hAnsiTheme="minorHAnsi" w:cstheme="minorHAnsi"/>
      </w:rPr>
      <w:t xml:space="preserve"> Management</w:t>
    </w:r>
  </w:p>
  <w:p w14:paraId="57284C87" w14:textId="77777777" w:rsidR="00DF51D3" w:rsidRPr="00572585" w:rsidRDefault="00DF51D3">
    <w:pPr>
      <w:pStyle w:val="Footer"/>
      <w:jc w:val="center"/>
      <w:rPr>
        <w:rFonts w:asciiTheme="minorHAnsi" w:hAnsiTheme="minorHAnsi" w:cstheme="minorHAnsi"/>
      </w:rPr>
    </w:pPr>
    <w:r w:rsidRPr="00572585">
      <w:rPr>
        <w:rFonts w:asciiTheme="minorHAnsi" w:hAnsiTheme="minorHAnsi" w:cstheme="minorHAnsi"/>
      </w:rPr>
      <w:t xml:space="preserve">Page </w:t>
    </w:r>
    <w:r w:rsidR="007C5EDE" w:rsidRPr="00572585">
      <w:rPr>
        <w:rFonts w:asciiTheme="minorHAnsi" w:hAnsiTheme="minorHAnsi" w:cstheme="minorHAnsi"/>
      </w:rPr>
      <w:fldChar w:fldCharType="begin"/>
    </w:r>
    <w:r w:rsidR="007C5EDE" w:rsidRPr="00572585">
      <w:rPr>
        <w:rFonts w:asciiTheme="minorHAnsi" w:hAnsiTheme="minorHAnsi" w:cstheme="minorHAnsi"/>
      </w:rPr>
      <w:instrText xml:space="preserve"> PAGE </w:instrText>
    </w:r>
    <w:r w:rsidR="007C5EDE" w:rsidRPr="00572585">
      <w:rPr>
        <w:rFonts w:asciiTheme="minorHAnsi" w:hAnsiTheme="minorHAnsi" w:cstheme="minorHAnsi"/>
      </w:rPr>
      <w:fldChar w:fldCharType="separate"/>
    </w:r>
    <w:r w:rsidR="008F6AD8">
      <w:rPr>
        <w:rFonts w:asciiTheme="minorHAnsi" w:hAnsiTheme="minorHAnsi" w:cstheme="minorHAnsi"/>
        <w:noProof/>
      </w:rPr>
      <w:t>17</w:t>
    </w:r>
    <w:r w:rsidR="007C5EDE" w:rsidRPr="00572585">
      <w:rPr>
        <w:rFonts w:asciiTheme="minorHAnsi" w:hAnsiTheme="minorHAnsi" w:cstheme="minorHAnsi"/>
        <w:noProof/>
      </w:rPr>
      <w:fldChar w:fldCharType="end"/>
    </w:r>
    <w:r w:rsidRPr="00572585">
      <w:rPr>
        <w:rFonts w:asciiTheme="minorHAnsi" w:hAnsiTheme="minorHAnsi" w:cstheme="minorHAnsi"/>
      </w:rPr>
      <w:t xml:space="preserve"> of </w:t>
    </w:r>
    <w:r w:rsidR="007C5EDE" w:rsidRPr="00572585">
      <w:rPr>
        <w:rFonts w:asciiTheme="minorHAnsi" w:hAnsiTheme="minorHAnsi" w:cstheme="minorHAnsi"/>
      </w:rPr>
      <w:fldChar w:fldCharType="begin"/>
    </w:r>
    <w:r w:rsidR="007C5EDE" w:rsidRPr="00572585">
      <w:rPr>
        <w:rFonts w:asciiTheme="minorHAnsi" w:hAnsiTheme="minorHAnsi" w:cstheme="minorHAnsi"/>
      </w:rPr>
      <w:instrText xml:space="preserve"> NUMPAGES </w:instrText>
    </w:r>
    <w:r w:rsidR="007C5EDE" w:rsidRPr="00572585">
      <w:rPr>
        <w:rFonts w:asciiTheme="minorHAnsi" w:hAnsiTheme="minorHAnsi" w:cstheme="minorHAnsi"/>
      </w:rPr>
      <w:fldChar w:fldCharType="separate"/>
    </w:r>
    <w:r w:rsidR="008F6AD8">
      <w:rPr>
        <w:rFonts w:asciiTheme="minorHAnsi" w:hAnsiTheme="minorHAnsi" w:cstheme="minorHAnsi"/>
        <w:noProof/>
      </w:rPr>
      <w:t>17</w:t>
    </w:r>
    <w:r w:rsidR="007C5EDE" w:rsidRPr="00572585">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1C78" w14:textId="77777777" w:rsidR="00B006E7" w:rsidRDefault="00B006E7">
      <w:r>
        <w:separator/>
      </w:r>
    </w:p>
  </w:footnote>
  <w:footnote w:type="continuationSeparator" w:id="0">
    <w:p w14:paraId="6EB2ADA6" w14:textId="77777777" w:rsidR="00B006E7" w:rsidRDefault="00B0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129"/>
    <w:multiLevelType w:val="hybridMultilevel"/>
    <w:tmpl w:val="6C4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4113"/>
    <w:multiLevelType w:val="hybridMultilevel"/>
    <w:tmpl w:val="78A6E0A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6AF6F97"/>
    <w:multiLevelType w:val="hybridMultilevel"/>
    <w:tmpl w:val="8ABCECBE"/>
    <w:lvl w:ilvl="0" w:tplc="88A80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B63684"/>
    <w:multiLevelType w:val="hybridMultilevel"/>
    <w:tmpl w:val="5358D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567968"/>
    <w:multiLevelType w:val="hybridMultilevel"/>
    <w:tmpl w:val="738ACE92"/>
    <w:lvl w:ilvl="0" w:tplc="04090001">
      <w:start w:val="1"/>
      <w:numFmt w:val="bullet"/>
      <w:lvlText w:val=""/>
      <w:lvlJc w:val="left"/>
      <w:pPr>
        <w:ind w:left="720" w:hanging="360"/>
      </w:pPr>
      <w:rPr>
        <w:rFonts w:ascii="Symbol" w:hAnsi="Symbol" w:hint="default"/>
      </w:rPr>
    </w:lvl>
    <w:lvl w:ilvl="1" w:tplc="58CC179C">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03305"/>
    <w:multiLevelType w:val="hybridMultilevel"/>
    <w:tmpl w:val="2562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94267"/>
    <w:multiLevelType w:val="hybridMultilevel"/>
    <w:tmpl w:val="570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07391"/>
    <w:multiLevelType w:val="hybridMultilevel"/>
    <w:tmpl w:val="A19A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E354F"/>
    <w:multiLevelType w:val="hybridMultilevel"/>
    <w:tmpl w:val="08BEE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8"/>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8A"/>
    <w:rsid w:val="000168E1"/>
    <w:rsid w:val="000225E0"/>
    <w:rsid w:val="00036ABC"/>
    <w:rsid w:val="00036C63"/>
    <w:rsid w:val="0003701F"/>
    <w:rsid w:val="0005640B"/>
    <w:rsid w:val="00064E19"/>
    <w:rsid w:val="0006555B"/>
    <w:rsid w:val="0007005D"/>
    <w:rsid w:val="00076723"/>
    <w:rsid w:val="000770A5"/>
    <w:rsid w:val="00085035"/>
    <w:rsid w:val="0008696E"/>
    <w:rsid w:val="00087F24"/>
    <w:rsid w:val="000A3B2F"/>
    <w:rsid w:val="000A780D"/>
    <w:rsid w:val="000C12CE"/>
    <w:rsid w:val="000C2106"/>
    <w:rsid w:val="000D759A"/>
    <w:rsid w:val="000D7EFC"/>
    <w:rsid w:val="000F0E48"/>
    <w:rsid w:val="000F118B"/>
    <w:rsid w:val="000F525F"/>
    <w:rsid w:val="001055BF"/>
    <w:rsid w:val="00111B2F"/>
    <w:rsid w:val="001315C5"/>
    <w:rsid w:val="001363AB"/>
    <w:rsid w:val="00152D30"/>
    <w:rsid w:val="00154C9E"/>
    <w:rsid w:val="0016069B"/>
    <w:rsid w:val="00165B25"/>
    <w:rsid w:val="00171468"/>
    <w:rsid w:val="001754A1"/>
    <w:rsid w:val="00177AAA"/>
    <w:rsid w:val="00186BE4"/>
    <w:rsid w:val="00194F15"/>
    <w:rsid w:val="00197B72"/>
    <w:rsid w:val="001A641E"/>
    <w:rsid w:val="001C792A"/>
    <w:rsid w:val="001C7AA0"/>
    <w:rsid w:val="001D42BA"/>
    <w:rsid w:val="001D725B"/>
    <w:rsid w:val="001E6291"/>
    <w:rsid w:val="001F5634"/>
    <w:rsid w:val="001F7E60"/>
    <w:rsid w:val="00254564"/>
    <w:rsid w:val="0025467E"/>
    <w:rsid w:val="00256D54"/>
    <w:rsid w:val="00270167"/>
    <w:rsid w:val="00270218"/>
    <w:rsid w:val="00272C5F"/>
    <w:rsid w:val="00275CCD"/>
    <w:rsid w:val="00292738"/>
    <w:rsid w:val="002B271D"/>
    <w:rsid w:val="002C2A9A"/>
    <w:rsid w:val="002C34C8"/>
    <w:rsid w:val="00310536"/>
    <w:rsid w:val="0031266E"/>
    <w:rsid w:val="00313504"/>
    <w:rsid w:val="00321AF9"/>
    <w:rsid w:val="003312DC"/>
    <w:rsid w:val="00333BAF"/>
    <w:rsid w:val="003529D8"/>
    <w:rsid w:val="00354F0C"/>
    <w:rsid w:val="00360672"/>
    <w:rsid w:val="003673F2"/>
    <w:rsid w:val="00374A4B"/>
    <w:rsid w:val="003778E1"/>
    <w:rsid w:val="00384ABA"/>
    <w:rsid w:val="003954D3"/>
    <w:rsid w:val="003A1664"/>
    <w:rsid w:val="003A280F"/>
    <w:rsid w:val="003C66F5"/>
    <w:rsid w:val="003C6B8D"/>
    <w:rsid w:val="003D3796"/>
    <w:rsid w:val="003E03A2"/>
    <w:rsid w:val="00405A0C"/>
    <w:rsid w:val="004104EF"/>
    <w:rsid w:val="00414289"/>
    <w:rsid w:val="00421807"/>
    <w:rsid w:val="00422FF8"/>
    <w:rsid w:val="00426834"/>
    <w:rsid w:val="00456D2C"/>
    <w:rsid w:val="00462829"/>
    <w:rsid w:val="004710EE"/>
    <w:rsid w:val="00473E46"/>
    <w:rsid w:val="00496F77"/>
    <w:rsid w:val="004A0C8B"/>
    <w:rsid w:val="004B205C"/>
    <w:rsid w:val="004B5296"/>
    <w:rsid w:val="004C720B"/>
    <w:rsid w:val="004D1A3E"/>
    <w:rsid w:val="004D1ECF"/>
    <w:rsid w:val="004E007B"/>
    <w:rsid w:val="004F6AE3"/>
    <w:rsid w:val="0052236A"/>
    <w:rsid w:val="00534523"/>
    <w:rsid w:val="00534A2D"/>
    <w:rsid w:val="0054102B"/>
    <w:rsid w:val="00543B15"/>
    <w:rsid w:val="00555488"/>
    <w:rsid w:val="00560809"/>
    <w:rsid w:val="00572585"/>
    <w:rsid w:val="005A08D0"/>
    <w:rsid w:val="005A0F6A"/>
    <w:rsid w:val="005B6FC0"/>
    <w:rsid w:val="005C4375"/>
    <w:rsid w:val="005C45EC"/>
    <w:rsid w:val="005D3CE3"/>
    <w:rsid w:val="005D7CAD"/>
    <w:rsid w:val="006016DE"/>
    <w:rsid w:val="0060798C"/>
    <w:rsid w:val="00630C8A"/>
    <w:rsid w:val="00643164"/>
    <w:rsid w:val="00650985"/>
    <w:rsid w:val="0066082A"/>
    <w:rsid w:val="00664559"/>
    <w:rsid w:val="0067793A"/>
    <w:rsid w:val="00694DED"/>
    <w:rsid w:val="00696A1D"/>
    <w:rsid w:val="006A5C92"/>
    <w:rsid w:val="006C05B4"/>
    <w:rsid w:val="006C17A8"/>
    <w:rsid w:val="006D27F3"/>
    <w:rsid w:val="006E1F4A"/>
    <w:rsid w:val="006E2B72"/>
    <w:rsid w:val="006E35C2"/>
    <w:rsid w:val="006E3D8D"/>
    <w:rsid w:val="006E466E"/>
    <w:rsid w:val="006F1E8C"/>
    <w:rsid w:val="006F5A01"/>
    <w:rsid w:val="007060C4"/>
    <w:rsid w:val="00717729"/>
    <w:rsid w:val="00720169"/>
    <w:rsid w:val="00722081"/>
    <w:rsid w:val="00736B03"/>
    <w:rsid w:val="00737499"/>
    <w:rsid w:val="00740220"/>
    <w:rsid w:val="00742CCE"/>
    <w:rsid w:val="007568B8"/>
    <w:rsid w:val="0076019E"/>
    <w:rsid w:val="00762585"/>
    <w:rsid w:val="007664ED"/>
    <w:rsid w:val="00766FEB"/>
    <w:rsid w:val="007766AA"/>
    <w:rsid w:val="0078457D"/>
    <w:rsid w:val="00786533"/>
    <w:rsid w:val="007A6F04"/>
    <w:rsid w:val="007B060C"/>
    <w:rsid w:val="007B1598"/>
    <w:rsid w:val="007B46E9"/>
    <w:rsid w:val="007C5EDE"/>
    <w:rsid w:val="007C63B8"/>
    <w:rsid w:val="007C6CC0"/>
    <w:rsid w:val="007D07CB"/>
    <w:rsid w:val="007D2AF8"/>
    <w:rsid w:val="007D6EAD"/>
    <w:rsid w:val="007E11C1"/>
    <w:rsid w:val="007F7458"/>
    <w:rsid w:val="00823904"/>
    <w:rsid w:val="00853F82"/>
    <w:rsid w:val="00855DEF"/>
    <w:rsid w:val="0085675A"/>
    <w:rsid w:val="0088554C"/>
    <w:rsid w:val="00892687"/>
    <w:rsid w:val="00895043"/>
    <w:rsid w:val="008A0788"/>
    <w:rsid w:val="008B2B77"/>
    <w:rsid w:val="008B68B0"/>
    <w:rsid w:val="008D09C6"/>
    <w:rsid w:val="008D0F07"/>
    <w:rsid w:val="008F6AD8"/>
    <w:rsid w:val="008F6D6C"/>
    <w:rsid w:val="00903D98"/>
    <w:rsid w:val="009116CB"/>
    <w:rsid w:val="00912B21"/>
    <w:rsid w:val="00930775"/>
    <w:rsid w:val="00933D41"/>
    <w:rsid w:val="0094570B"/>
    <w:rsid w:val="00945788"/>
    <w:rsid w:val="009554D5"/>
    <w:rsid w:val="0098719D"/>
    <w:rsid w:val="00993FC4"/>
    <w:rsid w:val="009A202F"/>
    <w:rsid w:val="009A2CFD"/>
    <w:rsid w:val="009B245C"/>
    <w:rsid w:val="009D5A54"/>
    <w:rsid w:val="009F3202"/>
    <w:rsid w:val="00A20469"/>
    <w:rsid w:val="00A25A73"/>
    <w:rsid w:val="00A30BE0"/>
    <w:rsid w:val="00A340BC"/>
    <w:rsid w:val="00A45107"/>
    <w:rsid w:val="00A526A3"/>
    <w:rsid w:val="00A55E0C"/>
    <w:rsid w:val="00A6583E"/>
    <w:rsid w:val="00A65A3E"/>
    <w:rsid w:val="00A73441"/>
    <w:rsid w:val="00A76111"/>
    <w:rsid w:val="00A86FBF"/>
    <w:rsid w:val="00A97C07"/>
    <w:rsid w:val="00AA27D6"/>
    <w:rsid w:val="00AB7386"/>
    <w:rsid w:val="00AD5A1A"/>
    <w:rsid w:val="00B006E7"/>
    <w:rsid w:val="00B0281E"/>
    <w:rsid w:val="00B12A34"/>
    <w:rsid w:val="00B2185F"/>
    <w:rsid w:val="00B3106A"/>
    <w:rsid w:val="00B62D75"/>
    <w:rsid w:val="00B63026"/>
    <w:rsid w:val="00B63C45"/>
    <w:rsid w:val="00B65C3B"/>
    <w:rsid w:val="00B662E5"/>
    <w:rsid w:val="00B82282"/>
    <w:rsid w:val="00BA5E0E"/>
    <w:rsid w:val="00BC21BF"/>
    <w:rsid w:val="00BC6089"/>
    <w:rsid w:val="00BD315F"/>
    <w:rsid w:val="00BD414E"/>
    <w:rsid w:val="00BF22AF"/>
    <w:rsid w:val="00BF52AD"/>
    <w:rsid w:val="00C0777E"/>
    <w:rsid w:val="00C158C4"/>
    <w:rsid w:val="00C20E37"/>
    <w:rsid w:val="00C31A92"/>
    <w:rsid w:val="00C50E10"/>
    <w:rsid w:val="00C52B67"/>
    <w:rsid w:val="00C67E72"/>
    <w:rsid w:val="00C91C5B"/>
    <w:rsid w:val="00C9495E"/>
    <w:rsid w:val="00CA2D19"/>
    <w:rsid w:val="00CA5840"/>
    <w:rsid w:val="00CB385F"/>
    <w:rsid w:val="00CB4261"/>
    <w:rsid w:val="00CC020D"/>
    <w:rsid w:val="00CD0189"/>
    <w:rsid w:val="00D071B7"/>
    <w:rsid w:val="00D26381"/>
    <w:rsid w:val="00D35B63"/>
    <w:rsid w:val="00D435E2"/>
    <w:rsid w:val="00D44F47"/>
    <w:rsid w:val="00D458A5"/>
    <w:rsid w:val="00D46A5D"/>
    <w:rsid w:val="00D47E82"/>
    <w:rsid w:val="00D51E71"/>
    <w:rsid w:val="00D72B51"/>
    <w:rsid w:val="00D72ECD"/>
    <w:rsid w:val="00D77282"/>
    <w:rsid w:val="00DA2620"/>
    <w:rsid w:val="00DA3920"/>
    <w:rsid w:val="00DA4693"/>
    <w:rsid w:val="00DA5DFC"/>
    <w:rsid w:val="00DA73EC"/>
    <w:rsid w:val="00DB5379"/>
    <w:rsid w:val="00DD0C68"/>
    <w:rsid w:val="00DD7EDA"/>
    <w:rsid w:val="00DE5DF4"/>
    <w:rsid w:val="00DE6FF6"/>
    <w:rsid w:val="00DF0A32"/>
    <w:rsid w:val="00DF13B8"/>
    <w:rsid w:val="00DF51D3"/>
    <w:rsid w:val="00DF7EB8"/>
    <w:rsid w:val="00E00A9C"/>
    <w:rsid w:val="00E00C2C"/>
    <w:rsid w:val="00E028D4"/>
    <w:rsid w:val="00E069FB"/>
    <w:rsid w:val="00E37068"/>
    <w:rsid w:val="00E426DE"/>
    <w:rsid w:val="00E43602"/>
    <w:rsid w:val="00E53AA3"/>
    <w:rsid w:val="00E66264"/>
    <w:rsid w:val="00E93395"/>
    <w:rsid w:val="00E945EA"/>
    <w:rsid w:val="00EA1677"/>
    <w:rsid w:val="00EA1D96"/>
    <w:rsid w:val="00EA232A"/>
    <w:rsid w:val="00EB0A97"/>
    <w:rsid w:val="00EB7AAF"/>
    <w:rsid w:val="00EE0217"/>
    <w:rsid w:val="00EE1EB3"/>
    <w:rsid w:val="00EE3539"/>
    <w:rsid w:val="00EE42BA"/>
    <w:rsid w:val="00EE4CF3"/>
    <w:rsid w:val="00EF68DA"/>
    <w:rsid w:val="00F1490F"/>
    <w:rsid w:val="00F3117F"/>
    <w:rsid w:val="00F41854"/>
    <w:rsid w:val="00F42228"/>
    <w:rsid w:val="00F4634F"/>
    <w:rsid w:val="00F541BC"/>
    <w:rsid w:val="00F5487D"/>
    <w:rsid w:val="00F55F21"/>
    <w:rsid w:val="00F60A0C"/>
    <w:rsid w:val="00F65186"/>
    <w:rsid w:val="00F947EC"/>
    <w:rsid w:val="00F970BD"/>
    <w:rsid w:val="00F9755D"/>
    <w:rsid w:val="00FA059D"/>
    <w:rsid w:val="00FC16CF"/>
    <w:rsid w:val="00FC5655"/>
    <w:rsid w:val="00FD7DC3"/>
    <w:rsid w:val="00FE519F"/>
    <w:rsid w:val="00FE5222"/>
    <w:rsid w:val="00FE5B07"/>
    <w:rsid w:val="00FF0669"/>
    <w:rsid w:val="00FF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284BC0"/>
  <w15:docId w15:val="{E1CC9C76-9EC0-43B0-85B6-76E6E0CE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77E"/>
    <w:rPr>
      <w:sz w:val="24"/>
      <w:szCs w:val="24"/>
    </w:rPr>
  </w:style>
  <w:style w:type="paragraph" w:styleId="Heading2">
    <w:name w:val="heading 2"/>
    <w:basedOn w:val="Normal"/>
    <w:next w:val="Normal"/>
    <w:qFormat/>
    <w:rsid w:val="00630C8A"/>
    <w:pPr>
      <w:keepNext/>
      <w:outlineLvl w:val="1"/>
    </w:pPr>
    <w:rPr>
      <w:b/>
      <w:bCs/>
    </w:rPr>
  </w:style>
  <w:style w:type="paragraph" w:styleId="Heading3">
    <w:name w:val="heading 3"/>
    <w:basedOn w:val="Normal"/>
    <w:next w:val="Normal"/>
    <w:qFormat/>
    <w:rsid w:val="00630C8A"/>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77E"/>
    <w:pPr>
      <w:tabs>
        <w:tab w:val="center" w:pos="4320"/>
        <w:tab w:val="right" w:pos="8640"/>
      </w:tabs>
    </w:pPr>
  </w:style>
  <w:style w:type="paragraph" w:styleId="Footer">
    <w:name w:val="footer"/>
    <w:basedOn w:val="Normal"/>
    <w:rsid w:val="00C0777E"/>
    <w:pPr>
      <w:tabs>
        <w:tab w:val="center" w:pos="4320"/>
        <w:tab w:val="right" w:pos="8640"/>
      </w:tabs>
    </w:pPr>
  </w:style>
  <w:style w:type="character" w:styleId="PageNumber">
    <w:name w:val="page number"/>
    <w:basedOn w:val="DefaultParagraphFont"/>
    <w:rsid w:val="00C0777E"/>
  </w:style>
  <w:style w:type="paragraph" w:styleId="BodyText">
    <w:name w:val="Body Text"/>
    <w:basedOn w:val="Normal"/>
    <w:link w:val="BodyTextChar"/>
    <w:rsid w:val="00630C8A"/>
    <w:pPr>
      <w:jc w:val="both"/>
    </w:pPr>
  </w:style>
  <w:style w:type="paragraph" w:styleId="BalloonText">
    <w:name w:val="Balloon Text"/>
    <w:basedOn w:val="Normal"/>
    <w:semiHidden/>
    <w:rsid w:val="00CB385F"/>
    <w:rPr>
      <w:rFonts w:ascii="Tahoma" w:hAnsi="Tahoma" w:cs="Tahoma"/>
      <w:sz w:val="16"/>
      <w:szCs w:val="16"/>
    </w:rPr>
  </w:style>
  <w:style w:type="character" w:customStyle="1" w:styleId="HeaderChar">
    <w:name w:val="Header Char"/>
    <w:link w:val="Header"/>
    <w:rsid w:val="0005640B"/>
    <w:rPr>
      <w:sz w:val="24"/>
      <w:szCs w:val="24"/>
    </w:rPr>
  </w:style>
  <w:style w:type="paragraph" w:styleId="Caption">
    <w:name w:val="caption"/>
    <w:basedOn w:val="Normal"/>
    <w:next w:val="Normal"/>
    <w:qFormat/>
    <w:rsid w:val="0005640B"/>
    <w:rPr>
      <w:sz w:val="32"/>
    </w:rPr>
  </w:style>
  <w:style w:type="table" w:styleId="TableGrid">
    <w:name w:val="Table Grid"/>
    <w:basedOn w:val="TableNormal"/>
    <w:uiPriority w:val="59"/>
    <w:rsid w:val="0005640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742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hltm\Local%20Settings\Temp\INTERNAL%20OPERATING%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94DDC5D216FC45A07EC5E64A26F1A0" ma:contentTypeVersion="7" ma:contentTypeDescription="Create a new document." ma:contentTypeScope="" ma:versionID="fd8b9d557821916728362c186c207b55">
  <xsd:schema xmlns:xsd="http://www.w3.org/2001/XMLSchema" xmlns:xs="http://www.w3.org/2001/XMLSchema" xmlns:p="http://schemas.microsoft.com/office/2006/metadata/properties" xmlns:ns1="http://schemas.microsoft.com/sharepoint/v3" xmlns:ns2="36323f24-b3e0-4e32-af1a-328e83a42ec0" targetNamespace="http://schemas.microsoft.com/office/2006/metadata/properties" ma:root="true" ma:fieldsID="4268b685b043bd5168145a229ab713f8" ns1:_="" ns2:_="">
    <xsd:import namespace="http://schemas.microsoft.com/sharepoint/v3"/>
    <xsd:import namespace="36323f24-b3e0-4e32-af1a-328e83a42e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323f24-b3e0-4e32-af1a-328e83a42e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0A86-65B4-40E3-9AEE-A8D2B4894146}">
  <ds:schemaRefs>
    <ds:schemaRef ds:uri="http://schemas.microsoft.com/sharepoint/v3/contenttype/forms"/>
  </ds:schemaRefs>
</ds:datastoreItem>
</file>

<file path=customXml/itemProps2.xml><?xml version="1.0" encoding="utf-8"?>
<ds:datastoreItem xmlns:ds="http://schemas.openxmlformats.org/officeDocument/2006/customXml" ds:itemID="{6D5C0D7A-AA79-41D5-985A-8CBE28F81FE8}">
  <ds:schemaRefs>
    <ds:schemaRef ds:uri="http://schemas.microsoft.com/office/2006/metadata/properties"/>
    <ds:schemaRef ds:uri="http://schemas.microsoft.com/office/infopath/2007/PartnerControls"/>
    <ds:schemaRef ds:uri="067026f1-9445-4842-b4f8-657763cd2deb"/>
    <ds:schemaRef ds:uri="00203d2c-d3fc-4dac-9dd4-77fc53be297d"/>
  </ds:schemaRefs>
</ds:datastoreItem>
</file>

<file path=customXml/itemProps3.xml><?xml version="1.0" encoding="utf-8"?>
<ds:datastoreItem xmlns:ds="http://schemas.openxmlformats.org/officeDocument/2006/customXml" ds:itemID="{3B669347-D2F8-43F4-8D1F-E3DC4DD05164}"/>
</file>

<file path=customXml/itemProps4.xml><?xml version="1.0" encoding="utf-8"?>
<ds:datastoreItem xmlns:ds="http://schemas.openxmlformats.org/officeDocument/2006/customXml" ds:itemID="{A87C14A3-172D-4F23-AA79-F2441330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OPERATING POLICY.dot</Template>
  <TotalTime>1</TotalTime>
  <Pages>3</Pages>
  <Words>5740</Words>
  <Characters>32722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Oregon Lottery</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hohltm</dc:creator>
  <cp:keywords/>
  <dc:description/>
  <cp:lastModifiedBy>SNODGRASS Emma * SOS</cp:lastModifiedBy>
  <cp:revision>2</cp:revision>
  <cp:lastPrinted>2017-06-02T17:54:00Z</cp:lastPrinted>
  <dcterms:created xsi:type="dcterms:W3CDTF">2022-07-13T15:52:00Z</dcterms:created>
  <dcterms:modified xsi:type="dcterms:W3CDTF">2022-07-13T15:52:00Z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0x0101009994DDC5D216FC45A07EC5E64A26F1A0</vt:lpwstr>
  </property>
  <property fmtid="{D5CDD505-2E9C-101B-9397-08002B2CF9AE}" pid="3" name="MediaServiceImageTags">
    <vt:lpwstr/>
  </property>
</Properties>
</file>